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E0CC2" w14:textId="77777777" w:rsidR="005B7F79" w:rsidRPr="005B7F79" w:rsidRDefault="005B7F79" w:rsidP="005B7F79">
      <w:pPr>
        <w:pStyle w:val="OZNPROJEKTUwskazaniedatylubwersjiprojektu"/>
      </w:pPr>
      <w:bookmarkStart w:id="0" w:name="_GoBack"/>
      <w:bookmarkEnd w:id="0"/>
    </w:p>
    <w:p w14:paraId="49DC3462" w14:textId="4D9468DC" w:rsidR="005B7F79" w:rsidRPr="005B7F79" w:rsidRDefault="005B7F79" w:rsidP="005B7F79">
      <w:pPr>
        <w:pStyle w:val="OZNPROJEKTUwskazaniedatylubwersjiprojektu"/>
      </w:pPr>
      <w:r w:rsidRPr="005B7F79">
        <w:t xml:space="preserve">Projekt </w:t>
      </w:r>
      <w:r w:rsidR="00847DCB">
        <w:t>30</w:t>
      </w:r>
      <w:r w:rsidR="00007321">
        <w:t>.</w:t>
      </w:r>
      <w:r w:rsidR="004B4EFD">
        <w:t>12</w:t>
      </w:r>
      <w:r w:rsidRPr="005B7F79">
        <w:t>.2020 r.</w:t>
      </w:r>
    </w:p>
    <w:p w14:paraId="1FD27F80" w14:textId="77777777" w:rsidR="005B7F79" w:rsidRPr="005B7F79" w:rsidRDefault="005B7F79" w:rsidP="005B7F79">
      <w:pPr>
        <w:pStyle w:val="OZNRODZAKTUtznustawalubrozporzdzenieiorganwydajcy"/>
      </w:pPr>
      <w:r w:rsidRPr="005B7F79">
        <w:t>ROZPORZĄDZENIE</w:t>
      </w:r>
    </w:p>
    <w:p w14:paraId="69721A8E" w14:textId="77777777" w:rsidR="005B7F79" w:rsidRPr="005B7F79" w:rsidRDefault="005B7F79" w:rsidP="005B7F79">
      <w:pPr>
        <w:pStyle w:val="OZNRODZAKTUtznustawalubrozporzdzenieiorganwydajcy"/>
      </w:pPr>
      <w:r w:rsidRPr="005B7F79">
        <w:t>MINISTRA ZDROWIA</w:t>
      </w:r>
      <w:r w:rsidRPr="005B7F79">
        <w:rPr>
          <w:rStyle w:val="Odwoanieprzypisudolnego"/>
        </w:rPr>
        <w:footnoteReference w:id="1"/>
      </w:r>
      <w:r w:rsidRPr="005B7F79">
        <w:rPr>
          <w:rStyle w:val="IGindeksgrny"/>
        </w:rPr>
        <w:t>)</w:t>
      </w:r>
    </w:p>
    <w:p w14:paraId="5971973F" w14:textId="5092745C" w:rsidR="005B7F79" w:rsidRPr="005B7F79" w:rsidRDefault="005B7F79" w:rsidP="005B7F79">
      <w:pPr>
        <w:pStyle w:val="DATAAKTUdatauchwalenialubwydaniaaktu"/>
      </w:pPr>
      <w:r w:rsidRPr="005B7F79">
        <w:t>z dnia ........</w:t>
      </w:r>
      <w:r w:rsidR="000508D0">
        <w:t>.</w:t>
      </w:r>
      <w:r w:rsidRPr="005B7F79">
        <w:t>............ 2020 r.</w:t>
      </w:r>
    </w:p>
    <w:p w14:paraId="75C427AC" w14:textId="77777777" w:rsidR="005B7F79" w:rsidRPr="005B7F79" w:rsidRDefault="005B7F79" w:rsidP="005B7F79">
      <w:pPr>
        <w:pStyle w:val="TYTDZPRZEDMprzedmiotregulacjitytuulubdziau"/>
      </w:pPr>
      <w:r w:rsidRPr="005B7F79">
        <w:t xml:space="preserve">w sprawie </w:t>
      </w:r>
      <w:bookmarkStart w:id="1" w:name="_Hlk47956484"/>
      <w:bookmarkStart w:id="2" w:name="_Hlk47965727"/>
      <w:r w:rsidRPr="005B7F79">
        <w:t xml:space="preserve">ogólnopolskiego kardiologiczno-kardiochirurgicznego rejestru przezcewnikowego leczenia zastawek serca </w:t>
      </w:r>
      <w:bookmarkEnd w:id="1"/>
      <w:r w:rsidRPr="005B7F79">
        <w:t>„POL-</w:t>
      </w:r>
      <w:proofErr w:type="spellStart"/>
      <w:r w:rsidRPr="005B7F79">
        <w:t>TaVALVE</w:t>
      </w:r>
      <w:proofErr w:type="spellEnd"/>
      <w:r w:rsidRPr="005B7F79">
        <w:t>”</w:t>
      </w:r>
      <w:bookmarkEnd w:id="2"/>
    </w:p>
    <w:p w14:paraId="0132DEE2" w14:textId="77777777" w:rsidR="005B7F79" w:rsidRPr="005B7F79" w:rsidRDefault="005B7F79" w:rsidP="005B7F79"/>
    <w:p w14:paraId="179D3F13" w14:textId="220FE266" w:rsidR="005B7F79" w:rsidRPr="005B7F79" w:rsidRDefault="005B7F79" w:rsidP="005B7F79">
      <w:pPr>
        <w:pStyle w:val="NIEARTTEKSTtekstnieartykuowanynppodstprawnarozplubpreambua"/>
      </w:pPr>
      <w:r w:rsidRPr="005B7F79">
        <w:t>Na podstawie art. 20 ust. 1 ustawy z dnia 28 kwietnia 2011 r. o systemie informacji w ochronie zdrowia (Dz. U. z 20</w:t>
      </w:r>
      <w:r w:rsidR="00CA20A4">
        <w:t>20</w:t>
      </w:r>
      <w:r w:rsidRPr="005B7F79">
        <w:t xml:space="preserve"> r. poz. </w:t>
      </w:r>
      <w:r w:rsidR="00CA20A4">
        <w:t>702</w:t>
      </w:r>
      <w:r w:rsidR="00EF067B">
        <w:t>,</w:t>
      </w:r>
      <w:r w:rsidR="00F70CE0">
        <w:t xml:space="preserve"> 1493</w:t>
      </w:r>
      <w:r w:rsidR="00CD40C3">
        <w:t>, 1875</w:t>
      </w:r>
      <w:r w:rsidR="00EF067B">
        <w:t xml:space="preserve"> i 2345</w:t>
      </w:r>
      <w:r w:rsidRPr="005B7F79">
        <w:t>) zarządza się, co następuje:</w:t>
      </w:r>
    </w:p>
    <w:p w14:paraId="06896D83" w14:textId="77777777" w:rsidR="005B7F79" w:rsidRPr="005B7F79" w:rsidRDefault="005B7F79" w:rsidP="005B7F79">
      <w:pPr>
        <w:pStyle w:val="ARTartustawynprozporzdzenia"/>
      </w:pPr>
      <w:r w:rsidRPr="005B7F79">
        <w:rPr>
          <w:rStyle w:val="Ppogrubienie"/>
        </w:rPr>
        <w:t>§ 1.</w:t>
      </w:r>
      <w:r w:rsidRPr="005B7F79">
        <w:t xml:space="preserve"> Rozporządzenie określa:</w:t>
      </w:r>
    </w:p>
    <w:p w14:paraId="613ADCA5" w14:textId="77777777" w:rsidR="005B7F79" w:rsidRPr="005B7F79" w:rsidRDefault="005B7F79" w:rsidP="005B7F79">
      <w:pPr>
        <w:pStyle w:val="PKTpunkt"/>
      </w:pPr>
      <w:r w:rsidRPr="005B7F79">
        <w:t>1)</w:t>
      </w:r>
      <w:r w:rsidRPr="005B7F79">
        <w:tab/>
        <w:t>podmiot prowadzący ogólnopolski kardiologiczno-kardiochirurgiczny rejestr przezcewnikowego leczenia zastawek serca „POL-</w:t>
      </w:r>
      <w:proofErr w:type="spellStart"/>
      <w:r w:rsidRPr="005B7F79">
        <w:t>TaVALVE</w:t>
      </w:r>
      <w:proofErr w:type="spellEnd"/>
      <w:r w:rsidRPr="005B7F79">
        <w:t xml:space="preserve">”, zwany dalej „rejestrem”; </w:t>
      </w:r>
    </w:p>
    <w:p w14:paraId="2A2F81EB" w14:textId="57717B3C" w:rsidR="005B7F79" w:rsidRPr="005B7F79" w:rsidRDefault="005B7F79" w:rsidP="00FF4D5C">
      <w:pPr>
        <w:pStyle w:val="PKTpunkt"/>
      </w:pPr>
      <w:r w:rsidRPr="005B7F79">
        <w:t>2)</w:t>
      </w:r>
      <w:r w:rsidRPr="005B7F79">
        <w:tab/>
      </w:r>
      <w:r w:rsidR="00A544A1" w:rsidRPr="005B7F79">
        <w:t xml:space="preserve">usługodawców </w:t>
      </w:r>
      <w:r w:rsidR="005E267C">
        <w:t>i</w:t>
      </w:r>
      <w:r w:rsidR="00F70CE0" w:rsidRPr="005B7F79">
        <w:t xml:space="preserve"> </w:t>
      </w:r>
      <w:r w:rsidR="00A544A1" w:rsidRPr="005B7F79">
        <w:t>podmiot prowadząc</w:t>
      </w:r>
      <w:r w:rsidR="005E267C">
        <w:t>y</w:t>
      </w:r>
      <w:r w:rsidR="00A544A1" w:rsidRPr="005B7F79">
        <w:t xml:space="preserve"> </w:t>
      </w:r>
      <w:r w:rsidR="005E267C">
        <w:t xml:space="preserve">oraz </w:t>
      </w:r>
      <w:r w:rsidR="00A544A1" w:rsidRPr="005B7F79">
        <w:t xml:space="preserve">rejestry publiczne </w:t>
      </w:r>
      <w:r w:rsidR="00A544A1">
        <w:t>i</w:t>
      </w:r>
      <w:r w:rsidR="00A544A1" w:rsidRPr="005B7F79">
        <w:t xml:space="preserve"> rejestry medyczne obowiązan</w:t>
      </w:r>
      <w:r w:rsidR="005E267C">
        <w:t>e</w:t>
      </w:r>
      <w:r w:rsidR="00A544A1">
        <w:t xml:space="preserve"> </w:t>
      </w:r>
      <w:r w:rsidR="00F70CE0">
        <w:t xml:space="preserve">do </w:t>
      </w:r>
      <w:r w:rsidR="00A544A1" w:rsidRPr="005B7F79">
        <w:t>przekazywania danych do rejestru oraz sposób i termin przekazywania przez nich danych do rejestru;</w:t>
      </w:r>
    </w:p>
    <w:p w14:paraId="30EDD148" w14:textId="77777777" w:rsidR="00FF4D5C" w:rsidRPr="005B7F79" w:rsidRDefault="005B7F79" w:rsidP="00FF4D5C">
      <w:pPr>
        <w:pStyle w:val="PKTpunkt"/>
      </w:pPr>
      <w:r w:rsidRPr="005B7F79">
        <w:t>3)</w:t>
      </w:r>
      <w:r w:rsidRPr="005B7F79">
        <w:tab/>
      </w:r>
      <w:r w:rsidR="00FF4D5C" w:rsidRPr="005B7F79">
        <w:t>sposób prowadzenia rejestru;</w:t>
      </w:r>
    </w:p>
    <w:p w14:paraId="0B83E2DB" w14:textId="0632DEB7" w:rsidR="005B7F79" w:rsidRPr="005B7F79" w:rsidRDefault="005B7F79" w:rsidP="005B7F79">
      <w:pPr>
        <w:pStyle w:val="PKTpunkt"/>
      </w:pPr>
      <w:r w:rsidRPr="005B7F79">
        <w:t>4)</w:t>
      </w:r>
      <w:r w:rsidRPr="005B7F79">
        <w:tab/>
        <w:t>zakres i rodzaj danych przetwarzanych w rejestrze spośród danych określonych w</w:t>
      </w:r>
      <w:r w:rsidR="00FC32EB">
        <w:t xml:space="preserve"> </w:t>
      </w:r>
      <w:r w:rsidRPr="005B7F79">
        <w:t>art. 4 ust. 3 ustawy z dnia 28 kwietnia 2011 r. o systemie informacji w ochronie zdrowia, zwanej dalej „ustawą”;</w:t>
      </w:r>
    </w:p>
    <w:p w14:paraId="5DA2B36A" w14:textId="77777777" w:rsidR="005B7F79" w:rsidRPr="005B7F79" w:rsidRDefault="005B7F79" w:rsidP="005B7F79">
      <w:pPr>
        <w:pStyle w:val="PKTpunkt"/>
      </w:pPr>
      <w:r w:rsidRPr="005B7F79">
        <w:t>5)</w:t>
      </w:r>
      <w:r w:rsidRPr="005B7F79">
        <w:tab/>
        <w:t>rodzaje identyfikatorów przetwarzanych w rejestrze spośród identyfikatorów określonych w art. 17c ust. 2–5 ustawy.</w:t>
      </w:r>
    </w:p>
    <w:p w14:paraId="45C9CAC4" w14:textId="77777777" w:rsidR="005B7F79" w:rsidRPr="005B7F79" w:rsidRDefault="005B7F79" w:rsidP="005B7F79">
      <w:pPr>
        <w:pStyle w:val="USTustnpkodeksu"/>
      </w:pPr>
      <w:r w:rsidRPr="005B7F79">
        <w:rPr>
          <w:rStyle w:val="Ppogrubienie"/>
        </w:rPr>
        <w:t>§ 2.</w:t>
      </w:r>
      <w:r w:rsidRPr="005B7F79">
        <w:t xml:space="preserve"> Podmiotem prowadzącym rejestr jest Śląskie Centrum Chorób Serca w Zabrzu. </w:t>
      </w:r>
    </w:p>
    <w:p w14:paraId="69749233" w14:textId="1C5F23EE" w:rsidR="005B7F79" w:rsidRDefault="005B7F79" w:rsidP="005B7F79">
      <w:pPr>
        <w:pStyle w:val="ARTartustawynprozporzdzenia"/>
      </w:pPr>
      <w:r w:rsidRPr="005B7F79">
        <w:rPr>
          <w:rStyle w:val="Ppogrubienie"/>
        </w:rPr>
        <w:t>§ 3.</w:t>
      </w:r>
      <w:r w:rsidRPr="005B7F79">
        <w:t xml:space="preserve"> Rejestr jest prowadzony z wykorzystaniem systemu teleinformatycznego.</w:t>
      </w:r>
    </w:p>
    <w:p w14:paraId="381995EE" w14:textId="34B2C5D1" w:rsidR="005B7F79" w:rsidRPr="005B7F79" w:rsidRDefault="005B7F79" w:rsidP="005B7F79">
      <w:pPr>
        <w:pStyle w:val="ARTartustawynprozporzdzenia"/>
      </w:pPr>
      <w:r w:rsidRPr="005B7F79">
        <w:rPr>
          <w:rStyle w:val="Ppogrubienie"/>
        </w:rPr>
        <w:t>§ 4.</w:t>
      </w:r>
      <w:r w:rsidRPr="005B7F79">
        <w:t xml:space="preserve"> W rejestrze przetwarza się dane i identyfikatory</w:t>
      </w:r>
      <w:r w:rsidR="00767DE8">
        <w:t>, które</w:t>
      </w:r>
      <w:r w:rsidRPr="005B7F79">
        <w:t xml:space="preserve"> obejmują:</w:t>
      </w:r>
    </w:p>
    <w:p w14:paraId="48999869" w14:textId="77777777" w:rsidR="005B7F79" w:rsidRPr="005B7F79" w:rsidRDefault="005B7F79" w:rsidP="005B7F79">
      <w:pPr>
        <w:pStyle w:val="PKTpunkt"/>
      </w:pPr>
      <w:r w:rsidRPr="005B7F79">
        <w:t>1)</w:t>
      </w:r>
      <w:r w:rsidRPr="005B7F79">
        <w:tab/>
        <w:t>dane osobowe dotyczące usługobiorcy:</w:t>
      </w:r>
    </w:p>
    <w:p w14:paraId="4778E2E3" w14:textId="7BA05B25" w:rsidR="005B7F79" w:rsidRPr="005B7F79" w:rsidRDefault="005B7F79" w:rsidP="005B7F79">
      <w:pPr>
        <w:pStyle w:val="LITlitera"/>
      </w:pPr>
      <w:r w:rsidRPr="005B7F79">
        <w:t>a)</w:t>
      </w:r>
      <w:r w:rsidRPr="005B7F79">
        <w:tab/>
        <w:t>imię (imiona) i nazwisko,</w:t>
      </w:r>
      <w:r w:rsidR="00324681">
        <w:t xml:space="preserve"> </w:t>
      </w:r>
    </w:p>
    <w:p w14:paraId="03A50A24" w14:textId="77777777" w:rsidR="005B7F79" w:rsidRPr="005B7F79" w:rsidRDefault="005B7F79" w:rsidP="005B7F79">
      <w:pPr>
        <w:pStyle w:val="LITlitera"/>
      </w:pPr>
      <w:r w:rsidRPr="005B7F79">
        <w:t>b)</w:t>
      </w:r>
      <w:r w:rsidRPr="005B7F79">
        <w:tab/>
        <w:t>płeć,</w:t>
      </w:r>
    </w:p>
    <w:p w14:paraId="6D82BB3A" w14:textId="2C9A53A5" w:rsidR="005B7F79" w:rsidRPr="005B7F79" w:rsidRDefault="005B7F79" w:rsidP="005B7F79">
      <w:pPr>
        <w:pStyle w:val="LITlitera"/>
      </w:pPr>
      <w:r w:rsidRPr="005B7F79">
        <w:lastRenderedPageBreak/>
        <w:t>c)</w:t>
      </w:r>
      <w:r w:rsidRPr="005B7F79">
        <w:tab/>
        <w:t xml:space="preserve">numer PESEL, a w przypadku osób, które nie mają nadanego numeru PESEL </w:t>
      </w:r>
      <w:r w:rsidR="00904086">
        <w:t>–</w:t>
      </w:r>
      <w:r w:rsidR="00904086" w:rsidRPr="005B7F79">
        <w:t xml:space="preserve"> </w:t>
      </w:r>
      <w:r w:rsidRPr="005B7F79">
        <w:t>serię i numer paszportu albo innego dokumentu stwierdzającego tożsamość, albo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w sprawie identyfikacji elektronicznej i</w:t>
      </w:r>
      <w:r w:rsidR="00BC1DB6">
        <w:t> </w:t>
      </w:r>
      <w:r w:rsidRPr="005B7F79">
        <w:t>usług zaufania w odniesieniu do transakcji elektronicznych na rynku wewnętrznym (Dz.</w:t>
      </w:r>
      <w:r w:rsidR="00CA20A4">
        <w:t xml:space="preserve"> </w:t>
      </w:r>
      <w:r w:rsidRPr="005B7F79">
        <w:t>Urz. UE L 235 z 09.09.2015, str. 1</w:t>
      </w:r>
      <w:r w:rsidR="005E267C">
        <w:t xml:space="preserve">, </w:t>
      </w:r>
      <w:r w:rsidR="00CA346A" w:rsidRPr="00CA346A">
        <w:t xml:space="preserve">z późn. </w:t>
      </w:r>
      <w:r w:rsidR="00CA346A">
        <w:t>z</w:t>
      </w:r>
      <w:r w:rsidR="00CA346A" w:rsidRPr="00CA346A">
        <w:t>m</w:t>
      </w:r>
      <w:r w:rsidR="00CA346A">
        <w:t>.</w:t>
      </w:r>
      <w:r w:rsidR="00BC2C63">
        <w:rPr>
          <w:rStyle w:val="Odwoanieprzypisudolnego"/>
        </w:rPr>
        <w:footnoteReference w:id="2"/>
      </w:r>
      <w:r w:rsidR="00BC2C63" w:rsidRPr="002B604C">
        <w:rPr>
          <w:rStyle w:val="IGindeksgrny"/>
        </w:rPr>
        <w:t>)</w:t>
      </w:r>
      <w:r w:rsidR="005E267C">
        <w:t>)</w:t>
      </w:r>
      <w:r w:rsidR="00CA346A">
        <w:t>,</w:t>
      </w:r>
    </w:p>
    <w:p w14:paraId="4B558A18" w14:textId="77777777" w:rsidR="005B7F79" w:rsidRPr="005B7F79" w:rsidRDefault="005B7F79" w:rsidP="005B7F79">
      <w:pPr>
        <w:pStyle w:val="LITlitera"/>
      </w:pPr>
      <w:r w:rsidRPr="005B7F79">
        <w:t>d)</w:t>
      </w:r>
      <w:r w:rsidRPr="005B7F79">
        <w:tab/>
        <w:t>datę urodzenia,</w:t>
      </w:r>
    </w:p>
    <w:p w14:paraId="2B9F9575" w14:textId="77777777" w:rsidR="005B7F79" w:rsidRPr="005B7F79" w:rsidRDefault="005B7F79" w:rsidP="005B7F79">
      <w:pPr>
        <w:pStyle w:val="LITlitera"/>
      </w:pPr>
      <w:r w:rsidRPr="005B7F79">
        <w:t>e)</w:t>
      </w:r>
      <w:r w:rsidRPr="005B7F79">
        <w:tab/>
        <w:t>adres miejsca zamieszkania lub adres do korespondencji,</w:t>
      </w:r>
    </w:p>
    <w:p w14:paraId="24358212" w14:textId="74625D9B" w:rsidR="005B7F79" w:rsidRPr="005B7F79" w:rsidRDefault="005B7F79" w:rsidP="005B7F79">
      <w:pPr>
        <w:pStyle w:val="LITlitera"/>
      </w:pPr>
      <w:r w:rsidRPr="005B7F79">
        <w:t>f)</w:t>
      </w:r>
      <w:r w:rsidRPr="005B7F79">
        <w:tab/>
      </w:r>
      <w:r w:rsidR="00A544A1">
        <w:t>adres poczty elektronicznej</w:t>
      </w:r>
      <w:r w:rsidR="00A544A1" w:rsidRPr="005B7F79">
        <w:t>,</w:t>
      </w:r>
    </w:p>
    <w:p w14:paraId="33CBBAD7" w14:textId="77777777" w:rsidR="005B7F79" w:rsidRPr="005B7F79" w:rsidRDefault="005B7F79" w:rsidP="005B7F79">
      <w:pPr>
        <w:pStyle w:val="LITlitera"/>
      </w:pPr>
      <w:r w:rsidRPr="005B7F79">
        <w:t>g)</w:t>
      </w:r>
      <w:r w:rsidRPr="005B7F79">
        <w:tab/>
        <w:t>numer telefonu kontaktowego,</w:t>
      </w:r>
    </w:p>
    <w:p w14:paraId="29CB9CD4" w14:textId="3AA42C18" w:rsidR="005B7F79" w:rsidRPr="005B7F79" w:rsidRDefault="005B7F79" w:rsidP="005B7F79">
      <w:pPr>
        <w:pStyle w:val="LITlitera"/>
      </w:pPr>
      <w:r w:rsidRPr="005B7F79">
        <w:t>h)</w:t>
      </w:r>
      <w:r w:rsidRPr="005B7F79">
        <w:tab/>
      </w:r>
      <w:r w:rsidR="00A544A1" w:rsidRPr="005B7F79">
        <w:t>datę i przyczynę zgonu według wybranej i obowiązującej w rejestrze klasyfikacji</w:t>
      </w:r>
      <w:r w:rsidR="009D708B">
        <w:t>;</w:t>
      </w:r>
    </w:p>
    <w:p w14:paraId="034C38E0" w14:textId="495BB353" w:rsidR="005B7F79" w:rsidRPr="005B7F79" w:rsidRDefault="005B7F79" w:rsidP="005B7F79">
      <w:pPr>
        <w:pStyle w:val="PKTpunkt"/>
      </w:pPr>
      <w:r w:rsidRPr="005B7F79">
        <w:t>2)</w:t>
      </w:r>
      <w:r w:rsidRPr="005B7F79">
        <w:tab/>
        <w:t>jednostkowe dane medyczne dotyczące usługobiorcy:</w:t>
      </w:r>
    </w:p>
    <w:p w14:paraId="1E2EA445" w14:textId="77777777" w:rsidR="005B7F79" w:rsidRPr="005B7F79" w:rsidRDefault="005B7F79" w:rsidP="005B7F79">
      <w:pPr>
        <w:pStyle w:val="LITlitera"/>
      </w:pPr>
      <w:r w:rsidRPr="005B7F79">
        <w:t>a)</w:t>
      </w:r>
      <w:r w:rsidRPr="005B7F79">
        <w:tab/>
        <w:t>jego stan zdrowia w chwili kwalifikacji do zabiegu:</w:t>
      </w:r>
    </w:p>
    <w:p w14:paraId="7E60BC10" w14:textId="2054895C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chorob</w:t>
      </w:r>
      <w:r w:rsidR="00690C51">
        <w:t>ę</w:t>
      </w:r>
      <w:r w:rsidRPr="005B7F79">
        <w:t xml:space="preserve"> zasadnicz</w:t>
      </w:r>
      <w:r w:rsidR="00690C51">
        <w:t>ą</w:t>
      </w:r>
      <w:r w:rsidRPr="005B7F79">
        <w:t xml:space="preserve"> według wybranej i</w:t>
      </w:r>
      <w:r w:rsidR="00BC1DB6">
        <w:t xml:space="preserve"> </w:t>
      </w:r>
      <w:r w:rsidRPr="005B7F79">
        <w:t>obowiązującej w rejestrze klasyfikacji,</w:t>
      </w:r>
    </w:p>
    <w:p w14:paraId="601BB037" w14:textId="20F608AA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choroby współistniejące według wybranej i</w:t>
      </w:r>
      <w:r w:rsidR="00BC1DB6">
        <w:t xml:space="preserve"> </w:t>
      </w:r>
      <w:r w:rsidRPr="005B7F79">
        <w:t>obowiązującej w rejestrze klasyfikacji,</w:t>
      </w:r>
    </w:p>
    <w:p w14:paraId="2144184E" w14:textId="41EEBD8F" w:rsidR="005B7F79" w:rsidRDefault="005B7F79" w:rsidP="005B7F79">
      <w:pPr>
        <w:pStyle w:val="TIRtiret"/>
      </w:pPr>
      <w:r w:rsidRPr="005B7F79">
        <w:t>–</w:t>
      </w:r>
      <w:r w:rsidRPr="005B7F79">
        <w:tab/>
        <w:t>czynniki ryzyka chorób sercowo-naczyniowych,</w:t>
      </w:r>
    </w:p>
    <w:p w14:paraId="7EEAE0C0" w14:textId="3A46869D" w:rsidR="00A544A1" w:rsidRPr="005B7F79" w:rsidRDefault="00A544A1" w:rsidP="005B7F79">
      <w:pPr>
        <w:pStyle w:val="TIRtiret"/>
      </w:pPr>
      <w:r w:rsidRPr="005B7F79">
        <w:t>–</w:t>
      </w:r>
      <w:r>
        <w:tab/>
        <w:t>przedoperacyjne czynnik</w:t>
      </w:r>
      <w:r w:rsidR="005E267C">
        <w:t>i</w:t>
      </w:r>
      <w:r>
        <w:t xml:space="preserve"> ryzyka;</w:t>
      </w:r>
    </w:p>
    <w:p w14:paraId="4C653882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wskazania do zabiegu,</w:t>
      </w:r>
    </w:p>
    <w:p w14:paraId="6235BAB3" w14:textId="0662FC26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etiologi</w:t>
      </w:r>
      <w:r w:rsidR="00690C51">
        <w:t>ę</w:t>
      </w:r>
      <w:r w:rsidRPr="005B7F79">
        <w:t xml:space="preserve"> wady zastawkowej,</w:t>
      </w:r>
    </w:p>
    <w:p w14:paraId="42485F4F" w14:textId="117BB028" w:rsidR="005B7F79" w:rsidRPr="005B7F79" w:rsidRDefault="005B7F79" w:rsidP="005B7F79">
      <w:pPr>
        <w:pStyle w:val="TIRtiret"/>
      </w:pPr>
      <w:bookmarkStart w:id="3" w:name="_Hlk52267138"/>
      <w:r w:rsidRPr="005B7F79">
        <w:t>–</w:t>
      </w:r>
      <w:r w:rsidRPr="005B7F79">
        <w:tab/>
        <w:t xml:space="preserve">ocenę stanu zdrowia, jakości życia oraz ryzyka związanego z zabiegiem według przyjętych i obowiązujących w rejestrze </w:t>
      </w:r>
      <w:proofErr w:type="spellStart"/>
      <w:r w:rsidRPr="005B7F79">
        <w:t>skal</w:t>
      </w:r>
      <w:proofErr w:type="spellEnd"/>
      <w:r w:rsidRPr="005B7F79">
        <w:t xml:space="preserve">, przeprowadzonej przez zespół wielospecjalistyczny z udziałem kardiologów </w:t>
      </w:r>
      <w:r w:rsidR="00921874">
        <w:t>i</w:t>
      </w:r>
      <w:r w:rsidRPr="005B7F79">
        <w:t xml:space="preserve"> kardiochirurgów,</w:t>
      </w:r>
    </w:p>
    <w:bookmarkEnd w:id="3"/>
    <w:p w14:paraId="1F6CFA89" w14:textId="2B768797" w:rsidR="005B7F79" w:rsidRPr="005B7F79" w:rsidRDefault="00A544A1" w:rsidP="005B7F79">
      <w:pPr>
        <w:pStyle w:val="LITlitera"/>
      </w:pPr>
      <w:r>
        <w:t>b</w:t>
      </w:r>
      <w:r w:rsidR="005B7F79" w:rsidRPr="005B7F79">
        <w:t>)</w:t>
      </w:r>
      <w:r w:rsidR="005B7F79" w:rsidRPr="005B7F79">
        <w:tab/>
        <w:t>datę, rodzaj i wynik wykonanych badań diagnostycznych oraz nazwy technologii medycznych:</w:t>
      </w:r>
    </w:p>
    <w:p w14:paraId="32D40EAC" w14:textId="12EDD15A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bada</w:t>
      </w:r>
      <w:r w:rsidR="00555C10">
        <w:t>ń</w:t>
      </w:r>
      <w:r w:rsidRPr="005B7F79">
        <w:t xml:space="preserve"> echokardiograficzn</w:t>
      </w:r>
      <w:r w:rsidR="00555C10">
        <w:t>ych</w:t>
      </w:r>
      <w:r w:rsidRPr="005B7F79">
        <w:t>,</w:t>
      </w:r>
    </w:p>
    <w:p w14:paraId="0C43991B" w14:textId="5374AF36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inn</w:t>
      </w:r>
      <w:r w:rsidR="005E267C">
        <w:t>ych</w:t>
      </w:r>
      <w:r w:rsidRPr="005B7F79">
        <w:t xml:space="preserve"> bada</w:t>
      </w:r>
      <w:r w:rsidR="00555C10">
        <w:t>ń</w:t>
      </w:r>
      <w:r w:rsidRPr="005B7F79">
        <w:t xml:space="preserve"> obrazow</w:t>
      </w:r>
      <w:r w:rsidR="00555C10">
        <w:t>ych</w:t>
      </w:r>
      <w:r w:rsidR="00F70CE0">
        <w:t xml:space="preserve"> (</w:t>
      </w:r>
      <w:r w:rsidR="00A544A1">
        <w:t>tomografi</w:t>
      </w:r>
      <w:r w:rsidR="00BC1DB6">
        <w:t>ę</w:t>
      </w:r>
      <w:r w:rsidR="00A544A1">
        <w:t xml:space="preserve"> komputerow</w:t>
      </w:r>
      <w:r w:rsidR="00BC1DB6">
        <w:t>ą</w:t>
      </w:r>
      <w:r w:rsidR="00A45ED4">
        <w:t>,</w:t>
      </w:r>
      <w:r w:rsidR="00A544A1">
        <w:t xml:space="preserve"> rezonans magnetyczny</w:t>
      </w:r>
      <w:r w:rsidR="00F70CE0">
        <w:t>)</w:t>
      </w:r>
      <w:r w:rsidR="00A544A1">
        <w:t>,</w:t>
      </w:r>
    </w:p>
    <w:p w14:paraId="18555244" w14:textId="3E7294A4" w:rsidR="005B7F79" w:rsidRPr="005B7F79" w:rsidRDefault="00A544A1" w:rsidP="005B7F79">
      <w:pPr>
        <w:pStyle w:val="LITlitera"/>
      </w:pPr>
      <w:r>
        <w:t>c</w:t>
      </w:r>
      <w:r w:rsidR="005B7F79" w:rsidRPr="005B7F79">
        <w:t>)</w:t>
      </w:r>
      <w:r w:rsidR="005B7F79" w:rsidRPr="005B7F79">
        <w:tab/>
        <w:t>datę, rodzaj i sposób leczenia:</w:t>
      </w:r>
    </w:p>
    <w:p w14:paraId="1C41A9B0" w14:textId="77777777" w:rsidR="005B7F79" w:rsidRPr="005B7F79" w:rsidRDefault="005B7F79" w:rsidP="005B7F79">
      <w:pPr>
        <w:pStyle w:val="TIRtiret"/>
      </w:pPr>
      <w:r w:rsidRPr="005B7F79">
        <w:lastRenderedPageBreak/>
        <w:t>–</w:t>
      </w:r>
      <w:r w:rsidRPr="005B7F79">
        <w:tab/>
        <w:t>datę, rodzaj i tryb przeprowadzonego zabiegu,</w:t>
      </w:r>
    </w:p>
    <w:p w14:paraId="1E177425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informację o wykonaniu zabiegu będącego świadczeniem ratującym życie,</w:t>
      </w:r>
    </w:p>
    <w:p w14:paraId="04CF738E" w14:textId="7645288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</w:t>
      </w:r>
      <w:r w:rsidR="00F72615">
        <w:t xml:space="preserve">ę </w:t>
      </w:r>
      <w:r w:rsidRPr="005B7F79">
        <w:t xml:space="preserve">o obrazowaniu </w:t>
      </w:r>
      <w:proofErr w:type="spellStart"/>
      <w:r w:rsidRPr="005B7F79">
        <w:t>okołozabiegowym</w:t>
      </w:r>
      <w:proofErr w:type="spellEnd"/>
      <w:r w:rsidRPr="005B7F79">
        <w:t>,</w:t>
      </w:r>
    </w:p>
    <w:p w14:paraId="2590C656" w14:textId="4CA17635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rodzaj zastosowanego znieczulenia,</w:t>
      </w:r>
    </w:p>
    <w:p w14:paraId="3E158A1D" w14:textId="387BEBCA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rodzaj dostępu</w:t>
      </w:r>
      <w:r w:rsidR="00A544A1">
        <w:t xml:space="preserve"> naczyniowego</w:t>
      </w:r>
      <w:r w:rsidRPr="005B7F79">
        <w:t>,</w:t>
      </w:r>
    </w:p>
    <w:p w14:paraId="5B604F34" w14:textId="61A4E6E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miejsce przeprowadzenia zabiegu (sala operacyjna, hemodynamiczna</w:t>
      </w:r>
      <w:r w:rsidR="00BC1DB6">
        <w:t xml:space="preserve"> lub</w:t>
      </w:r>
      <w:r w:rsidRPr="005B7F79">
        <w:t xml:space="preserve"> hybrydowa),</w:t>
      </w:r>
    </w:p>
    <w:p w14:paraId="18CB6179" w14:textId="6F7986E7" w:rsidR="005B7F79" w:rsidRDefault="005B7F79" w:rsidP="005B7F79">
      <w:pPr>
        <w:pStyle w:val="TIRtiret"/>
      </w:pPr>
      <w:r w:rsidRPr="005B7F79">
        <w:t>–</w:t>
      </w:r>
      <w:r w:rsidRPr="005B7F79">
        <w:tab/>
        <w:t>nazwę</w:t>
      </w:r>
      <w:r w:rsidR="00A544A1">
        <w:t xml:space="preserve"> i</w:t>
      </w:r>
      <w:r w:rsidRPr="005B7F79">
        <w:t xml:space="preserve"> kod procedury medycznej </w:t>
      </w:r>
      <w:r w:rsidR="00A544A1" w:rsidRPr="00AB657E">
        <w:t>według wybranej i obowiązującej w rejestrze klasyfikacji</w:t>
      </w:r>
      <w:r w:rsidR="00A544A1" w:rsidRPr="005B7F79">
        <w:t>,</w:t>
      </w:r>
    </w:p>
    <w:p w14:paraId="3D29EA83" w14:textId="0B1941DC" w:rsidR="00A544A1" w:rsidRPr="005B7F79" w:rsidRDefault="00A544A1" w:rsidP="00A544A1">
      <w:pPr>
        <w:pStyle w:val="TIRtiret"/>
      </w:pPr>
      <w:r w:rsidRPr="005B7F79">
        <w:t>–</w:t>
      </w:r>
      <w:r w:rsidRPr="005B7F79">
        <w:tab/>
      </w:r>
      <w:r>
        <w:t xml:space="preserve">informację o </w:t>
      </w:r>
      <w:r w:rsidRPr="005B7F79">
        <w:t>zastosowanych produk</w:t>
      </w:r>
      <w:r>
        <w:t>tach</w:t>
      </w:r>
      <w:r w:rsidRPr="005B7F79">
        <w:t xml:space="preserve"> leczniczych i wyrob</w:t>
      </w:r>
      <w:r>
        <w:t xml:space="preserve">ach </w:t>
      </w:r>
      <w:r w:rsidRPr="005B7F79">
        <w:t>medycznych</w:t>
      </w:r>
      <w:r>
        <w:t>,</w:t>
      </w:r>
    </w:p>
    <w:p w14:paraId="4D6721CB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moc pochłoniętej dawki promieniowania w trakcie zabiegu i objętości podanego kontrastu,</w:t>
      </w:r>
    </w:p>
    <w:p w14:paraId="0888437D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czas trwania zabiegu,</w:t>
      </w:r>
    </w:p>
    <w:p w14:paraId="6E91C49C" w14:textId="662644F8" w:rsidR="005B7F79" w:rsidRPr="005B7F79" w:rsidRDefault="005B7F79" w:rsidP="005B7F79">
      <w:pPr>
        <w:pStyle w:val="TIRtiret"/>
      </w:pPr>
      <w:bookmarkStart w:id="4" w:name="_Hlk47007445"/>
      <w:r w:rsidRPr="005B7F79">
        <w:t>–</w:t>
      </w:r>
      <w:bookmarkEnd w:id="4"/>
      <w:r w:rsidRPr="005B7F79">
        <w:tab/>
        <w:t>inne procedury medyczne wykonywane podczas hospitalizacji</w:t>
      </w:r>
      <w:r w:rsidR="00A544A1">
        <w:t xml:space="preserve"> </w:t>
      </w:r>
      <w:r w:rsidR="00A544A1" w:rsidRPr="005B7F79">
        <w:t>według wybranej i</w:t>
      </w:r>
      <w:r w:rsidR="00A544A1">
        <w:t xml:space="preserve"> </w:t>
      </w:r>
      <w:r w:rsidR="00A544A1" w:rsidRPr="005B7F79">
        <w:t>obowiązującej w rejestrze klasyfikacji,</w:t>
      </w:r>
    </w:p>
    <w:p w14:paraId="69308955" w14:textId="75EB1E09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</w:t>
      </w:r>
      <w:r w:rsidR="00A544A1">
        <w:t>ę</w:t>
      </w:r>
      <w:r w:rsidRPr="005B7F79">
        <w:t xml:space="preserve"> o powikłaniach okołozabiegowych i ich rodzaju,</w:t>
      </w:r>
    </w:p>
    <w:p w14:paraId="06117B0B" w14:textId="408556DD" w:rsidR="005B7F79" w:rsidRPr="005B7F79" w:rsidRDefault="00A544A1" w:rsidP="005B7F79">
      <w:pPr>
        <w:pStyle w:val="LITlitera"/>
      </w:pPr>
      <w:r>
        <w:t>d</w:t>
      </w:r>
      <w:r w:rsidR="005B7F79" w:rsidRPr="005B7F79">
        <w:t>)</w:t>
      </w:r>
      <w:r w:rsidR="005B7F79" w:rsidRPr="005B7F79">
        <w:tab/>
        <w:t>monitorowanie stanu zdrowia usługobiorcy w trakcie hospitalizacji:</w:t>
      </w:r>
    </w:p>
    <w:p w14:paraId="67A9FD75" w14:textId="4CBD323E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informację o stanie zdrowia,</w:t>
      </w:r>
    </w:p>
    <w:p w14:paraId="7F6D4EA3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informację o wykonanych badaniach diagnostycznych,</w:t>
      </w:r>
    </w:p>
    <w:p w14:paraId="1F6EBAF4" w14:textId="7D26A601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 xml:space="preserve">informację o produktach leczniczych podawanych </w:t>
      </w:r>
      <w:r w:rsidR="00BC1DB6">
        <w:t>usługobiorcy</w:t>
      </w:r>
      <w:r w:rsidRPr="005B7F79">
        <w:t>,</w:t>
      </w:r>
    </w:p>
    <w:p w14:paraId="7606E04E" w14:textId="586D56BC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 xml:space="preserve">informację o </w:t>
      </w:r>
      <w:proofErr w:type="spellStart"/>
      <w:r w:rsidR="0078379F">
        <w:t>pozabiegowych</w:t>
      </w:r>
      <w:proofErr w:type="spellEnd"/>
      <w:r w:rsidR="0078379F">
        <w:t xml:space="preserve"> lub </w:t>
      </w:r>
      <w:r w:rsidRPr="005B7F79">
        <w:t>pooperacyjnych powikłaniach, ich rodzaju i przyczynie,</w:t>
      </w:r>
    </w:p>
    <w:p w14:paraId="00D7FCFC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informację o zdarzeniach niepożądanych,</w:t>
      </w:r>
    </w:p>
    <w:p w14:paraId="791111B5" w14:textId="566230E1" w:rsidR="005B7F79" w:rsidRPr="005B7F79" w:rsidRDefault="00A544A1" w:rsidP="005B7F79">
      <w:pPr>
        <w:pStyle w:val="LITlitera"/>
      </w:pPr>
      <w:r>
        <w:t>e</w:t>
      </w:r>
      <w:r w:rsidR="005B7F79" w:rsidRPr="005B7F79">
        <w:t>)</w:t>
      </w:r>
      <w:r w:rsidR="005B7F79" w:rsidRPr="005B7F79">
        <w:tab/>
        <w:t>informację o dalszych planach opieki i zaleceniach po wypisie,</w:t>
      </w:r>
    </w:p>
    <w:p w14:paraId="1EE13582" w14:textId="345FE7D8" w:rsidR="005B7F79" w:rsidRPr="005B7F79" w:rsidRDefault="00A544A1" w:rsidP="005B7F79">
      <w:pPr>
        <w:pStyle w:val="LITlitera"/>
      </w:pPr>
      <w:bookmarkStart w:id="5" w:name="_Hlk44673269"/>
      <w:r>
        <w:t>f</w:t>
      </w:r>
      <w:r w:rsidR="005B7F79" w:rsidRPr="005B7F79">
        <w:t>)</w:t>
      </w:r>
      <w:r w:rsidR="005B7F79" w:rsidRPr="005B7F79">
        <w:tab/>
        <w:t>monitorowanie stanu zdrowia usługobiorcy po wypisie – obserwacja wczesna i</w:t>
      </w:r>
      <w:r w:rsidR="00BC1DB6">
        <w:t> </w:t>
      </w:r>
      <w:r w:rsidR="005B7F79" w:rsidRPr="005B7F79">
        <w:t>odległa:</w:t>
      </w:r>
    </w:p>
    <w:bookmarkEnd w:id="5"/>
    <w:p w14:paraId="40CE78B2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datę przeprowadzonej obserwacji,</w:t>
      </w:r>
    </w:p>
    <w:p w14:paraId="4BF90E8B" w14:textId="7777777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sposób zebrania danych w okresie obserwacji,</w:t>
      </w:r>
    </w:p>
    <w:p w14:paraId="2CAFC815" w14:textId="113D4620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informację o stanie zdrowia,</w:t>
      </w:r>
    </w:p>
    <w:p w14:paraId="6E9BA272" w14:textId="20CE25D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ocenę stanu zdrowia i jakości życia w</w:t>
      </w:r>
      <w:r w:rsidR="00F72615">
        <w:t>edług</w:t>
      </w:r>
      <w:r w:rsidRPr="005B7F79">
        <w:t xml:space="preserve"> przyjętych i obowiązujących w</w:t>
      </w:r>
      <w:r w:rsidR="00BC1DB6">
        <w:t> </w:t>
      </w:r>
      <w:r w:rsidRPr="005B7F79">
        <w:t xml:space="preserve">rejestrze </w:t>
      </w:r>
      <w:proofErr w:type="spellStart"/>
      <w:r w:rsidRPr="005B7F79">
        <w:t>skal</w:t>
      </w:r>
      <w:proofErr w:type="spellEnd"/>
      <w:r w:rsidRPr="005B7F79">
        <w:t>,</w:t>
      </w:r>
    </w:p>
    <w:p w14:paraId="63B3E0EE" w14:textId="64FDD14A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 xml:space="preserve">informację o produktach leczniczych przyjmowanych przez </w:t>
      </w:r>
      <w:r w:rsidR="00BC1DB6">
        <w:t>usługobiorcę</w:t>
      </w:r>
      <w:r w:rsidRPr="005B7F79">
        <w:t>,</w:t>
      </w:r>
    </w:p>
    <w:p w14:paraId="06C8EB7F" w14:textId="75E35C07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</w:t>
      </w:r>
      <w:r w:rsidR="00F72615">
        <w:t>ę</w:t>
      </w:r>
      <w:r w:rsidRPr="005B7F79">
        <w:t xml:space="preserve"> o wykonanych badaniach diagnostycznych,</w:t>
      </w:r>
    </w:p>
    <w:p w14:paraId="64FF233A" w14:textId="744392BF" w:rsidR="005B7F79" w:rsidRPr="005B7F79" w:rsidRDefault="005B7F79" w:rsidP="005B7F79">
      <w:pPr>
        <w:pStyle w:val="TIRtiret"/>
      </w:pPr>
      <w:r w:rsidRPr="005B7F79">
        <w:lastRenderedPageBreak/>
        <w:t>–</w:t>
      </w:r>
      <w:r w:rsidRPr="005B7F79">
        <w:tab/>
      </w:r>
      <w:bookmarkStart w:id="6" w:name="_Hlk44673011"/>
      <w:r w:rsidRPr="005B7F79">
        <w:t xml:space="preserve">informację o datach hospitalizacji po przebytym </w:t>
      </w:r>
      <w:proofErr w:type="spellStart"/>
      <w:r w:rsidR="00921874">
        <w:t>przezcewnikowym</w:t>
      </w:r>
      <w:proofErr w:type="spellEnd"/>
      <w:r w:rsidR="00921874">
        <w:t xml:space="preserve"> </w:t>
      </w:r>
      <w:r w:rsidRPr="005B7F79">
        <w:t xml:space="preserve">leczeniu </w:t>
      </w:r>
      <w:r w:rsidR="004E4025">
        <w:t>zastawek serca</w:t>
      </w:r>
      <w:r w:rsidRPr="005B7F79">
        <w:t xml:space="preserve"> i ich przyczynie pierwotnej w</w:t>
      </w:r>
      <w:r w:rsidR="00F72615">
        <w:t>edłu</w:t>
      </w:r>
      <w:r w:rsidRPr="005B7F79">
        <w:t>g przyjętych i obowiązujących w rejestrze</w:t>
      </w:r>
      <w:r w:rsidR="00A544A1">
        <w:t xml:space="preserve"> klasyfikacji</w:t>
      </w:r>
      <w:r w:rsidRPr="005B7F79">
        <w:t>,</w:t>
      </w:r>
      <w:bookmarkEnd w:id="6"/>
    </w:p>
    <w:p w14:paraId="2AF75BD6" w14:textId="5E5AA66D" w:rsidR="005B7F79" w:rsidRPr="005B7F79" w:rsidRDefault="005B7F79" w:rsidP="005B7F79">
      <w:pPr>
        <w:pStyle w:val="TIRtiret"/>
      </w:pPr>
      <w:r w:rsidRPr="005B7F79">
        <w:t>–</w:t>
      </w:r>
      <w:r w:rsidRPr="005B7F79">
        <w:tab/>
        <w:t>informacj</w:t>
      </w:r>
      <w:r w:rsidR="00F72615">
        <w:t>ę</w:t>
      </w:r>
      <w:r w:rsidRPr="005B7F79">
        <w:t xml:space="preserve"> o powikłaniach i ich rodzaju</w:t>
      </w:r>
      <w:r w:rsidR="00F72615">
        <w:t>,</w:t>
      </w:r>
    </w:p>
    <w:p w14:paraId="055546F9" w14:textId="76B7E5AE" w:rsidR="006075C6" w:rsidRDefault="00A544A1" w:rsidP="005B7F79">
      <w:pPr>
        <w:pStyle w:val="LITlitera"/>
      </w:pPr>
      <w:bookmarkStart w:id="7" w:name="_Hlk44672945"/>
      <w:r>
        <w:t>g</w:t>
      </w:r>
      <w:r w:rsidR="005B7F79" w:rsidRPr="005B7F79">
        <w:t>)</w:t>
      </w:r>
      <w:r w:rsidR="005B7F79" w:rsidRPr="005B7F79">
        <w:tab/>
      </w:r>
      <w:r w:rsidR="00D534B4" w:rsidRPr="00D534B4">
        <w:t>numer w wykazie głównym przyjęć i wypisów, pod którym dokonano wpisu o przyjęciu usługobiorcy, rok dokonania wpisu</w:t>
      </w:r>
      <w:r w:rsidR="006206F0">
        <w:t xml:space="preserve"> i numer wykazu</w:t>
      </w:r>
      <w:r w:rsidR="005E267C">
        <w:t>,</w:t>
      </w:r>
      <w:bookmarkEnd w:id="7"/>
    </w:p>
    <w:p w14:paraId="62A26FFC" w14:textId="1DF61A22" w:rsidR="005B7F79" w:rsidRPr="005B7F79" w:rsidRDefault="00A544A1" w:rsidP="005B7F79">
      <w:pPr>
        <w:pStyle w:val="LITlitera"/>
      </w:pPr>
      <w:r>
        <w:t>h</w:t>
      </w:r>
      <w:r w:rsidR="005B7F79" w:rsidRPr="005B7F79">
        <w:t>)</w:t>
      </w:r>
      <w:r w:rsidR="005B7F79" w:rsidRPr="005B7F79">
        <w:tab/>
        <w:t xml:space="preserve">datę przyjęcia i datę dokonania wypisu </w:t>
      </w:r>
      <w:r w:rsidR="00F72615">
        <w:t>u</w:t>
      </w:r>
      <w:r w:rsidR="00F72615" w:rsidRPr="005B7F79">
        <w:t xml:space="preserve"> </w:t>
      </w:r>
      <w:r w:rsidR="005B7F79" w:rsidRPr="005B7F79">
        <w:t>usługodawcy,</w:t>
      </w:r>
    </w:p>
    <w:p w14:paraId="0CAEF363" w14:textId="1B0E09ED" w:rsidR="005B7F79" w:rsidRPr="005B7F79" w:rsidRDefault="00A544A1" w:rsidP="005B7F79">
      <w:pPr>
        <w:pStyle w:val="LITlitera"/>
      </w:pPr>
      <w:r>
        <w:t>i</w:t>
      </w:r>
      <w:r w:rsidR="005B7F79" w:rsidRPr="005B7F79">
        <w:t>)</w:t>
      </w:r>
      <w:r w:rsidR="005B7F79" w:rsidRPr="005B7F79">
        <w:tab/>
        <w:t xml:space="preserve">tryb przyjęcia i wypisu </w:t>
      </w:r>
      <w:r w:rsidR="00F72615">
        <w:t xml:space="preserve">u </w:t>
      </w:r>
      <w:r w:rsidR="005B7F79" w:rsidRPr="005B7F79">
        <w:t>usługodawcy,</w:t>
      </w:r>
    </w:p>
    <w:p w14:paraId="2EBBD277" w14:textId="049F7768" w:rsidR="005B7F79" w:rsidRPr="005B7F79" w:rsidRDefault="00A544A1" w:rsidP="005B7F79">
      <w:pPr>
        <w:pStyle w:val="LITlitera"/>
      </w:pPr>
      <w:r>
        <w:t>j</w:t>
      </w:r>
      <w:r w:rsidR="005B7F79" w:rsidRPr="005B7F79">
        <w:t>)</w:t>
      </w:r>
      <w:r w:rsidR="005B7F79" w:rsidRPr="005B7F79">
        <w:tab/>
        <w:t>liczbę dni hospitalizacji,</w:t>
      </w:r>
    </w:p>
    <w:p w14:paraId="7685ED3A" w14:textId="14CCB840" w:rsidR="005B7F79" w:rsidRPr="005B7F79" w:rsidRDefault="00A544A1" w:rsidP="005B7F79">
      <w:pPr>
        <w:pStyle w:val="LITlitera"/>
      </w:pPr>
      <w:r>
        <w:t>k</w:t>
      </w:r>
      <w:r w:rsidR="005B7F79" w:rsidRPr="005B7F79">
        <w:t>)</w:t>
      </w:r>
      <w:r w:rsidR="005B7F79" w:rsidRPr="005B7F79">
        <w:tab/>
        <w:t xml:space="preserve">miejsce lub </w:t>
      </w:r>
      <w:r>
        <w:t>usługodawc</w:t>
      </w:r>
      <w:r w:rsidR="00A45ED4">
        <w:t>ę</w:t>
      </w:r>
      <w:r w:rsidR="005B7F79" w:rsidRPr="005B7F79">
        <w:t>, z którego usługobiorca został przyjęty,</w:t>
      </w:r>
    </w:p>
    <w:p w14:paraId="0AEACDA6" w14:textId="0CC523EE" w:rsidR="005B7F79" w:rsidRPr="005B7F79" w:rsidRDefault="00A544A1" w:rsidP="005B7F79">
      <w:pPr>
        <w:pStyle w:val="LITlitera"/>
      </w:pPr>
      <w:r>
        <w:t>l</w:t>
      </w:r>
      <w:r w:rsidR="005B7F79" w:rsidRPr="005B7F79">
        <w:t>)</w:t>
      </w:r>
      <w:r w:rsidR="005B7F79" w:rsidRPr="005B7F79">
        <w:tab/>
        <w:t xml:space="preserve">miejsce lub </w:t>
      </w:r>
      <w:r>
        <w:t>usługodawc</w:t>
      </w:r>
      <w:r w:rsidR="00A45ED4">
        <w:t>ę</w:t>
      </w:r>
      <w:r w:rsidR="005B7F79" w:rsidRPr="005B7F79">
        <w:t>, do którego usługobiorca został przekazany</w:t>
      </w:r>
      <w:r w:rsidR="00E37030">
        <w:t>;</w:t>
      </w:r>
    </w:p>
    <w:p w14:paraId="6CE00B48" w14:textId="77777777" w:rsidR="005B7F79" w:rsidRPr="005B7F79" w:rsidRDefault="005B7F79" w:rsidP="005B7F79">
      <w:pPr>
        <w:pStyle w:val="PKTpunkt"/>
      </w:pPr>
      <w:r w:rsidRPr="005B7F79">
        <w:t>3)</w:t>
      </w:r>
      <w:r w:rsidRPr="005B7F79">
        <w:tab/>
        <w:t>identyfikator usługodawcy, o którym mowa w art. 17c ust. 3 pkt 1 ustawy;</w:t>
      </w:r>
    </w:p>
    <w:p w14:paraId="6A1DA8EA" w14:textId="77777777" w:rsidR="005B7F79" w:rsidRPr="005B7F79" w:rsidRDefault="005B7F79" w:rsidP="005B7F79">
      <w:pPr>
        <w:pStyle w:val="PKTpunkt"/>
      </w:pPr>
      <w:r w:rsidRPr="005B7F79">
        <w:t>4)</w:t>
      </w:r>
      <w:r w:rsidRPr="005B7F79">
        <w:tab/>
        <w:t>identyfikator miejsca udzielania świadczeń opieki zdrowotnej, o którym mowa w art. 17c ust. 4 pkt 1 ustawy;</w:t>
      </w:r>
    </w:p>
    <w:p w14:paraId="0EE5F83F" w14:textId="77777777" w:rsidR="005B7F79" w:rsidRPr="005B7F79" w:rsidRDefault="005B7F79" w:rsidP="005B7F79">
      <w:pPr>
        <w:pStyle w:val="PKTpunkt"/>
      </w:pPr>
      <w:r w:rsidRPr="005B7F79">
        <w:t>5)</w:t>
      </w:r>
      <w:r w:rsidRPr="005B7F79">
        <w:tab/>
        <w:t>identyfikator pracownika medycznego, o którym mowa w art. 17c ust. 5 ustawy, który:</w:t>
      </w:r>
    </w:p>
    <w:p w14:paraId="27713732" w14:textId="77777777" w:rsidR="005B7F79" w:rsidRPr="005B7F79" w:rsidRDefault="005B7F79" w:rsidP="005B7F79">
      <w:pPr>
        <w:pStyle w:val="LITlitera"/>
      </w:pPr>
      <w:r w:rsidRPr="005B7F79">
        <w:t>a)</w:t>
      </w:r>
      <w:r w:rsidRPr="005B7F79">
        <w:tab/>
        <w:t>wprowadził dane do rejestru,</w:t>
      </w:r>
    </w:p>
    <w:p w14:paraId="08B61071" w14:textId="07EE34A0" w:rsidR="005B7F79" w:rsidRPr="005B7F79" w:rsidRDefault="005B7F79" w:rsidP="00620A3C">
      <w:pPr>
        <w:pStyle w:val="LITlitera"/>
      </w:pPr>
      <w:r w:rsidRPr="005B7F79">
        <w:t>b)</w:t>
      </w:r>
      <w:r w:rsidRPr="005B7F79">
        <w:tab/>
        <w:t>wykonał dane świadczenie opieki zdrowotnej</w:t>
      </w:r>
      <w:r w:rsidR="006206F0">
        <w:t>.</w:t>
      </w:r>
    </w:p>
    <w:p w14:paraId="4BA1736D" w14:textId="07F33CED" w:rsidR="005B7F79" w:rsidRPr="005B7F79" w:rsidRDefault="005B7F79" w:rsidP="005B7F79">
      <w:pPr>
        <w:pStyle w:val="ARTartustawynprozporzdzenia"/>
      </w:pPr>
      <w:bookmarkStart w:id="8" w:name="_Hlk44672706"/>
      <w:r w:rsidRPr="005B7F79">
        <w:rPr>
          <w:rStyle w:val="Ppogrubienie"/>
        </w:rPr>
        <w:t>§ 5</w:t>
      </w:r>
      <w:r w:rsidRPr="005B7F79">
        <w:t xml:space="preserve">. </w:t>
      </w:r>
      <w:r w:rsidR="00A544A1">
        <w:t xml:space="preserve">1. </w:t>
      </w:r>
      <w:r w:rsidRPr="005B7F79">
        <w:t xml:space="preserve">Dane i </w:t>
      </w:r>
      <w:r w:rsidR="005E267C">
        <w:t>identyfikatory</w:t>
      </w:r>
      <w:r w:rsidRPr="005B7F79">
        <w:t>, o których mowa w § 4, są przekazywane do rejestru</w:t>
      </w:r>
      <w:r w:rsidR="003A3D52">
        <w:t xml:space="preserve"> przez</w:t>
      </w:r>
      <w:r w:rsidRPr="005B7F79">
        <w:t>:</w:t>
      </w:r>
    </w:p>
    <w:p w14:paraId="0BD5F52B" w14:textId="3787AB92" w:rsidR="005B7F79" w:rsidRPr="005B7F79" w:rsidRDefault="005B7F79" w:rsidP="005B7F79">
      <w:pPr>
        <w:pStyle w:val="PKTpunkt"/>
      </w:pPr>
      <w:bookmarkStart w:id="9" w:name="_Hlk52270086"/>
      <w:r w:rsidRPr="005B7F79">
        <w:t>1)</w:t>
      </w:r>
      <w:r w:rsidRPr="005B7F79">
        <w:tab/>
        <w:t xml:space="preserve">usługodawców wykonujących zabiegi przezcewnikowego leczenia zastawki aortalnej, mitralnej, płucnej i trójdzielnej </w:t>
      </w:r>
      <w:r w:rsidR="001D2F9C">
        <w:t>u usługobiorców po ukończeniu 18</w:t>
      </w:r>
      <w:r w:rsidR="00BC2C63">
        <w:t>.</w:t>
      </w:r>
      <w:r w:rsidR="001D2F9C">
        <w:t xml:space="preserve"> roku życia </w:t>
      </w:r>
      <w:r w:rsidR="00904086">
        <w:t>–</w:t>
      </w:r>
      <w:r w:rsidR="00904086" w:rsidRPr="005B7F79">
        <w:t xml:space="preserve"> </w:t>
      </w:r>
      <w:r w:rsidRPr="005B7F79">
        <w:t xml:space="preserve">za pośrednictwem dedykowanego systemu </w:t>
      </w:r>
      <w:r w:rsidR="003A3D52">
        <w:t>tele</w:t>
      </w:r>
      <w:r w:rsidRPr="005B7F79">
        <w:t>informatycznego, w terminie do 10. dnia miesiąca następującego po miesiącu, w którym usługodawca wykazał taki zabieg do rozliczenia;</w:t>
      </w:r>
    </w:p>
    <w:bookmarkEnd w:id="9"/>
    <w:p w14:paraId="2A2B1A8F" w14:textId="36EF08E8" w:rsidR="005B7F79" w:rsidRDefault="005B7F79" w:rsidP="005B7F79">
      <w:pPr>
        <w:pStyle w:val="PKTpunkt"/>
      </w:pPr>
      <w:r w:rsidRPr="005B7F79">
        <w:t>2)</w:t>
      </w:r>
      <w:r w:rsidRPr="005B7F79">
        <w:tab/>
        <w:t xml:space="preserve">Narodowy Fundusz Zdrowia w zakresie, o którym mowa w </w:t>
      </w:r>
      <w:r w:rsidR="00A544A1" w:rsidRPr="005B7F79">
        <w:t xml:space="preserve">§ 4 pkt </w:t>
      </w:r>
      <w:r w:rsidR="00A544A1">
        <w:t>1</w:t>
      </w:r>
      <w:r w:rsidR="00A544A1" w:rsidRPr="005B7F79">
        <w:t xml:space="preserve"> </w:t>
      </w:r>
      <w:r w:rsidR="00A544A1">
        <w:t xml:space="preserve">lit. h i pkt 2 lit. f </w:t>
      </w:r>
      <w:proofErr w:type="spellStart"/>
      <w:r w:rsidR="00A544A1">
        <w:t>tiret</w:t>
      </w:r>
      <w:proofErr w:type="spellEnd"/>
      <w:r w:rsidR="00A544A1">
        <w:t xml:space="preserve"> </w:t>
      </w:r>
      <w:r w:rsidR="005E267C">
        <w:t>siódmy</w:t>
      </w:r>
      <w:r w:rsidRPr="005B7F79">
        <w:t>, do systemu, o którym mowa w pkt 1, w terminie 120 dni od dnia przekazania danych przez usługodawcę.</w:t>
      </w:r>
    </w:p>
    <w:p w14:paraId="1BB94560" w14:textId="0B35774A" w:rsidR="00C60254" w:rsidRPr="00677E02" w:rsidRDefault="00C60254" w:rsidP="00C60254">
      <w:pPr>
        <w:pStyle w:val="USTustnpkodeksu"/>
      </w:pPr>
      <w:r w:rsidRPr="00677E02">
        <w:t xml:space="preserve">2. Narodowy Fundusz Zdrowia przekazuje dane i identyfikatory wskazane w § 4 pkt 2 lit. f </w:t>
      </w:r>
      <w:proofErr w:type="spellStart"/>
      <w:r w:rsidRPr="00677E02">
        <w:t>tiret</w:t>
      </w:r>
      <w:proofErr w:type="spellEnd"/>
      <w:r w:rsidRPr="00677E02">
        <w:t xml:space="preserve"> </w:t>
      </w:r>
      <w:r w:rsidR="005E267C">
        <w:t>siódmy</w:t>
      </w:r>
      <w:r w:rsidRPr="00677E02">
        <w:t>, dotyczące usługobiorców, u których przeprowadzono przezcewnikowe leczenie zastawek serca, za okres roku następującego po dacie wpisu usługobiorcy do rejestru, w odniesieniu do:</w:t>
      </w:r>
    </w:p>
    <w:p w14:paraId="63F088E4" w14:textId="77777777" w:rsidR="001B3206" w:rsidRPr="001B3206" w:rsidRDefault="001B3206" w:rsidP="001B3206">
      <w:pPr>
        <w:pStyle w:val="PKTpunkt"/>
      </w:pPr>
      <w:r w:rsidRPr="001B3206">
        <w:t>1) chorób zakaźnych i pasożytniczych o kodach ICD-10: U07.1-U07.2;</w:t>
      </w:r>
    </w:p>
    <w:p w14:paraId="1DC06C25" w14:textId="77777777" w:rsidR="001B3206" w:rsidRPr="001B3206" w:rsidRDefault="001B3206" w:rsidP="001B3206">
      <w:pPr>
        <w:pStyle w:val="PKTpunkt"/>
      </w:pPr>
      <w:r w:rsidRPr="001B3206">
        <w:t>2) nowotworów o kodach ICD-10: C00-D48;</w:t>
      </w:r>
    </w:p>
    <w:p w14:paraId="7A018EB2" w14:textId="68CEA673" w:rsidR="001B3206" w:rsidRPr="001B3206" w:rsidRDefault="001B3206" w:rsidP="001B3206">
      <w:pPr>
        <w:pStyle w:val="PKTpunkt"/>
      </w:pPr>
      <w:r w:rsidRPr="001B3206">
        <w:lastRenderedPageBreak/>
        <w:t>3) zaburzeń wydzielania wewnętrznego, stanu odżywienia i przemiany metabolicznej o kodach ICD</w:t>
      </w:r>
      <w:r w:rsidR="005E267C">
        <w:t>-10</w:t>
      </w:r>
      <w:r w:rsidRPr="001B3206">
        <w:t>: E00-E90;</w:t>
      </w:r>
    </w:p>
    <w:p w14:paraId="28CC38E7" w14:textId="01CF11FC" w:rsidR="001B3206" w:rsidRPr="001B3206" w:rsidRDefault="001B3206" w:rsidP="001B3206">
      <w:pPr>
        <w:pStyle w:val="PKTpunkt"/>
      </w:pPr>
      <w:r>
        <w:t>4</w:t>
      </w:r>
      <w:r w:rsidRPr="001B3206">
        <w:t>) chorób układu nerwowego o kodach ICD-10: G09, G20, G30, G37;</w:t>
      </w:r>
    </w:p>
    <w:p w14:paraId="3DAFC1AC" w14:textId="74E09AD4" w:rsidR="001B3206" w:rsidRPr="001B3206" w:rsidRDefault="001B3206" w:rsidP="001B3206">
      <w:pPr>
        <w:pStyle w:val="PKTpunkt"/>
      </w:pPr>
      <w:r>
        <w:t>5</w:t>
      </w:r>
      <w:r w:rsidRPr="001B3206">
        <w:t>) chorób układu krążenia o kodach ICD-10: I00-I99;</w:t>
      </w:r>
    </w:p>
    <w:p w14:paraId="1AA5AF77" w14:textId="1D2DFE8B" w:rsidR="001B3206" w:rsidRPr="001B3206" w:rsidRDefault="001B3206" w:rsidP="001B3206">
      <w:pPr>
        <w:pStyle w:val="PKTpunkt"/>
      </w:pPr>
      <w:r>
        <w:t>6</w:t>
      </w:r>
      <w:r w:rsidRPr="001B3206">
        <w:t>) chor</w:t>
      </w:r>
      <w:r w:rsidR="005E267C">
        <w:t>ób</w:t>
      </w:r>
      <w:r w:rsidRPr="001B3206">
        <w:t xml:space="preserve"> układu oddechowego o kodach ICD-10: J00-J99;</w:t>
      </w:r>
    </w:p>
    <w:p w14:paraId="614922BF" w14:textId="1C635DF1" w:rsidR="001B3206" w:rsidRPr="001B3206" w:rsidRDefault="001B3206" w:rsidP="001B3206">
      <w:pPr>
        <w:pStyle w:val="PKTpunkt"/>
      </w:pPr>
      <w:r>
        <w:t>7</w:t>
      </w:r>
      <w:r w:rsidRPr="001B3206">
        <w:t xml:space="preserve">) </w:t>
      </w:r>
      <w:r w:rsidR="00387E81" w:rsidRPr="001B3206">
        <w:t>choró</w:t>
      </w:r>
      <w:r w:rsidR="00387E81">
        <w:t>b</w:t>
      </w:r>
      <w:r w:rsidRPr="001B3206">
        <w:t xml:space="preserve"> układu moczowo-płciowego o kodach ICD-10: N00-N97;</w:t>
      </w:r>
    </w:p>
    <w:p w14:paraId="4DC6F445" w14:textId="012A6E77" w:rsidR="001B3206" w:rsidRPr="001B3206" w:rsidRDefault="001B3206" w:rsidP="001B3206">
      <w:pPr>
        <w:pStyle w:val="PKTpunkt"/>
      </w:pPr>
      <w:r>
        <w:t>8</w:t>
      </w:r>
      <w:r w:rsidRPr="001B3206">
        <w:t>) uraz</w:t>
      </w:r>
      <w:r w:rsidR="005E267C">
        <w:t>ów</w:t>
      </w:r>
      <w:r w:rsidRPr="001B3206">
        <w:t>, zatru</w:t>
      </w:r>
      <w:r w:rsidR="005E267C">
        <w:t>ć</w:t>
      </w:r>
      <w:r w:rsidRPr="001B3206">
        <w:t xml:space="preserve"> i inn</w:t>
      </w:r>
      <w:r w:rsidR="005E267C">
        <w:t>ych</w:t>
      </w:r>
      <w:r w:rsidRPr="001B3206">
        <w:t xml:space="preserve"> określon</w:t>
      </w:r>
      <w:r w:rsidR="005E267C">
        <w:t>ych</w:t>
      </w:r>
      <w:r w:rsidRPr="001B3206">
        <w:t xml:space="preserve"> skutk</w:t>
      </w:r>
      <w:r w:rsidR="005E267C">
        <w:t>ów</w:t>
      </w:r>
      <w:r w:rsidRPr="001B3206">
        <w:t xml:space="preserve"> działania czynników zewnętrznych o kodach ICD-10: S00-T98;</w:t>
      </w:r>
    </w:p>
    <w:p w14:paraId="6495D0B5" w14:textId="79190141" w:rsidR="001B3206" w:rsidRPr="001B3206" w:rsidRDefault="001B3206" w:rsidP="001B3206">
      <w:pPr>
        <w:pStyle w:val="PKTpunkt"/>
      </w:pPr>
      <w:r>
        <w:t>9</w:t>
      </w:r>
      <w:r w:rsidRPr="001B3206">
        <w:t>) zewnętrzn</w:t>
      </w:r>
      <w:r w:rsidR="005E267C">
        <w:t>ych</w:t>
      </w:r>
      <w:r w:rsidRPr="001B3206">
        <w:t xml:space="preserve"> przyczyn zachorowa</w:t>
      </w:r>
      <w:r w:rsidR="005E267C">
        <w:t>ń</w:t>
      </w:r>
      <w:r w:rsidRPr="001B3206">
        <w:t xml:space="preserve"> i zgonu o kodach ICD-10: V01-Y99;</w:t>
      </w:r>
    </w:p>
    <w:p w14:paraId="6274A132" w14:textId="3052B3B2" w:rsidR="001B3206" w:rsidRPr="001B3206" w:rsidRDefault="001B3206" w:rsidP="001B3206">
      <w:pPr>
        <w:pStyle w:val="PKTpunkt"/>
        <w:rPr>
          <w:highlight w:val="yellow"/>
        </w:rPr>
      </w:pPr>
      <w:r>
        <w:t>10</w:t>
      </w:r>
      <w:r w:rsidRPr="001B3206">
        <w:t>) czynnik</w:t>
      </w:r>
      <w:r w:rsidR="005E267C">
        <w:t>ów</w:t>
      </w:r>
      <w:r w:rsidRPr="001B3206">
        <w:t xml:space="preserve"> </w:t>
      </w:r>
      <w:r w:rsidR="00387E81" w:rsidRPr="001B3206">
        <w:t>wpływając</w:t>
      </w:r>
      <w:r w:rsidR="00387E81">
        <w:t>ych</w:t>
      </w:r>
      <w:r w:rsidRPr="001B3206">
        <w:t xml:space="preserve"> na stan zdrowia i kontakt ze służbą zdrowia o kodach ICD</w:t>
      </w:r>
      <w:r w:rsidR="002553DE">
        <w:t>-10: Z0</w:t>
      </w:r>
      <w:r w:rsidR="00387E81">
        <w:t>0</w:t>
      </w:r>
      <w:r w:rsidRPr="001B3206">
        <w:t>-</w:t>
      </w:r>
      <w:r w:rsidR="00387E81">
        <w:t>Z</w:t>
      </w:r>
      <w:r w:rsidRPr="001B3206">
        <w:t>99.</w:t>
      </w:r>
    </w:p>
    <w:p w14:paraId="63BB3BF5" w14:textId="4A6819A0" w:rsidR="00A544A1" w:rsidRPr="006206F0" w:rsidRDefault="00C60254" w:rsidP="006206F0">
      <w:pPr>
        <w:pStyle w:val="USTustnpkodeksu"/>
      </w:pPr>
      <w:r>
        <w:t>3</w:t>
      </w:r>
      <w:r w:rsidR="00A544A1" w:rsidRPr="006206F0">
        <w:t xml:space="preserve">. Klasyfikacje, o </w:t>
      </w:r>
      <w:r w:rsidR="00620A3C" w:rsidRPr="006206F0">
        <w:t>których</w:t>
      </w:r>
      <w:r w:rsidR="00A544A1" w:rsidRPr="006206F0">
        <w:t xml:space="preserve"> mowa w </w:t>
      </w:r>
      <w:r w:rsidR="00A544A1" w:rsidRPr="006206F0">
        <w:rPr>
          <w:rStyle w:val="Ppogrubienie"/>
          <w:b w:val="0"/>
        </w:rPr>
        <w:t xml:space="preserve">§ </w:t>
      </w:r>
      <w:r w:rsidR="00A544A1" w:rsidRPr="006206F0">
        <w:t>4 pkt 1 lit. h</w:t>
      </w:r>
      <w:r w:rsidR="00767DE8">
        <w:t>,</w:t>
      </w:r>
      <w:r w:rsidR="00A544A1" w:rsidRPr="006206F0">
        <w:t xml:space="preserve"> pkt 2 lit. a </w:t>
      </w:r>
      <w:proofErr w:type="spellStart"/>
      <w:r w:rsidR="00A544A1" w:rsidRPr="006206F0">
        <w:t>tiret</w:t>
      </w:r>
      <w:proofErr w:type="spellEnd"/>
      <w:r w:rsidR="00A544A1" w:rsidRPr="006206F0">
        <w:t xml:space="preserve"> </w:t>
      </w:r>
      <w:r w:rsidR="009E22E5">
        <w:t>pierwszy</w:t>
      </w:r>
      <w:r w:rsidR="00A544A1" w:rsidRPr="006206F0">
        <w:t xml:space="preserve"> i </w:t>
      </w:r>
      <w:r w:rsidR="009E22E5">
        <w:t>drugi</w:t>
      </w:r>
      <w:r w:rsidR="00767DE8">
        <w:t>,</w:t>
      </w:r>
      <w:r w:rsidR="00A544A1" w:rsidRPr="006206F0">
        <w:t xml:space="preserve"> pkt 2 lit. c </w:t>
      </w:r>
      <w:proofErr w:type="spellStart"/>
      <w:r w:rsidR="00A544A1" w:rsidRPr="006206F0">
        <w:t>tiret</w:t>
      </w:r>
      <w:proofErr w:type="spellEnd"/>
      <w:r w:rsidR="00A544A1" w:rsidRPr="006206F0">
        <w:t xml:space="preserve"> </w:t>
      </w:r>
      <w:r w:rsidR="009E22E5">
        <w:t>siódmy</w:t>
      </w:r>
      <w:r w:rsidR="00A544A1" w:rsidRPr="006206F0">
        <w:t xml:space="preserve"> i </w:t>
      </w:r>
      <w:r w:rsidR="009E22E5">
        <w:t>jedenasty</w:t>
      </w:r>
      <w:r w:rsidR="002C1012">
        <w:t xml:space="preserve"> oraz</w:t>
      </w:r>
      <w:r w:rsidR="00A544A1" w:rsidRPr="006206F0">
        <w:t xml:space="preserve"> pkt 2 lit. f </w:t>
      </w:r>
      <w:proofErr w:type="spellStart"/>
      <w:r w:rsidR="00A544A1" w:rsidRPr="006206F0">
        <w:t>tiret</w:t>
      </w:r>
      <w:proofErr w:type="spellEnd"/>
      <w:r w:rsidR="00A544A1" w:rsidRPr="006206F0">
        <w:t xml:space="preserve"> </w:t>
      </w:r>
      <w:r w:rsidR="009E22E5">
        <w:t>siódmy</w:t>
      </w:r>
      <w:r w:rsidR="00A544A1" w:rsidRPr="006206F0">
        <w:t>, stanowi</w:t>
      </w:r>
      <w:r w:rsidR="00D534B4" w:rsidRPr="006206F0">
        <w:t>ą</w:t>
      </w:r>
      <w:r w:rsidR="00A544A1" w:rsidRPr="006206F0">
        <w:t xml:space="preserve"> Międzynarodową Statystyczną Klasyfikacj</w:t>
      </w:r>
      <w:r w:rsidR="008B58D8">
        <w:t>ę</w:t>
      </w:r>
      <w:r w:rsidR="00A544A1" w:rsidRPr="006206F0">
        <w:t xml:space="preserve"> Chorób i</w:t>
      </w:r>
      <w:r w:rsidR="002C1012">
        <w:t> </w:t>
      </w:r>
      <w:r w:rsidR="00A544A1" w:rsidRPr="006206F0">
        <w:t>Problemów Zdrowotnych (</w:t>
      </w:r>
      <w:r w:rsidR="001B3206">
        <w:t xml:space="preserve">International Statistical </w:t>
      </w:r>
      <w:proofErr w:type="spellStart"/>
      <w:r w:rsidR="001B3206">
        <w:t>Classification</w:t>
      </w:r>
      <w:proofErr w:type="spellEnd"/>
      <w:r w:rsidR="001B3206">
        <w:t xml:space="preserve"> of </w:t>
      </w:r>
      <w:proofErr w:type="spellStart"/>
      <w:r w:rsidR="001B3206">
        <w:t>Diseases</w:t>
      </w:r>
      <w:proofErr w:type="spellEnd"/>
      <w:r w:rsidR="001B3206">
        <w:t xml:space="preserve"> and </w:t>
      </w:r>
      <w:proofErr w:type="spellStart"/>
      <w:r w:rsidR="001B3206">
        <w:t>Related</w:t>
      </w:r>
      <w:proofErr w:type="spellEnd"/>
      <w:r w:rsidR="001B3206">
        <w:t xml:space="preserve"> </w:t>
      </w:r>
      <w:proofErr w:type="spellStart"/>
      <w:r w:rsidR="001B3206">
        <w:t>Health</w:t>
      </w:r>
      <w:proofErr w:type="spellEnd"/>
      <w:r w:rsidR="001B3206">
        <w:t xml:space="preserve"> </w:t>
      </w:r>
      <w:proofErr w:type="spellStart"/>
      <w:r w:rsidR="001B3206">
        <w:t>Problems</w:t>
      </w:r>
      <w:proofErr w:type="spellEnd"/>
      <w:r w:rsidR="00A544A1" w:rsidRPr="006206F0">
        <w:t>).</w:t>
      </w:r>
    </w:p>
    <w:bookmarkEnd w:id="8"/>
    <w:p w14:paraId="52A6B2AB" w14:textId="04CE47E9" w:rsidR="005B7F79" w:rsidRPr="005B7F79" w:rsidRDefault="005B7F79" w:rsidP="005B7F79">
      <w:pPr>
        <w:pStyle w:val="ARTartustawynprozporzdzenia"/>
      </w:pPr>
      <w:r w:rsidRPr="005B7F79">
        <w:rPr>
          <w:rStyle w:val="Ppogrubienie"/>
        </w:rPr>
        <w:t>§ 6</w:t>
      </w:r>
      <w:r w:rsidR="00D3625E">
        <w:rPr>
          <w:rStyle w:val="Ppogrubienie"/>
        </w:rPr>
        <w:t>.</w:t>
      </w:r>
      <w:r w:rsidRPr="005B7F79">
        <w:rPr>
          <w:rStyle w:val="Ppogrubienie"/>
        </w:rPr>
        <w:t xml:space="preserve"> </w:t>
      </w:r>
      <w:r w:rsidRPr="005B7F79">
        <w:t>Tworzy się ogólnopolski kardiologiczno-kardiochirurgiczny rejestr przezcewnikowego leczenia zastawek serca „POL-</w:t>
      </w:r>
      <w:proofErr w:type="spellStart"/>
      <w:r w:rsidRPr="005B7F79">
        <w:t>TaVALVE</w:t>
      </w:r>
      <w:proofErr w:type="spellEnd"/>
      <w:r w:rsidRPr="005B7F79">
        <w:t>”.</w:t>
      </w:r>
    </w:p>
    <w:p w14:paraId="60213857" w14:textId="21AD0FA1" w:rsidR="005B7F79" w:rsidRPr="005B7F79" w:rsidRDefault="005B7F79" w:rsidP="005B7F79">
      <w:pPr>
        <w:pStyle w:val="ARTartustawynprozporzdzenia"/>
      </w:pPr>
      <w:r w:rsidRPr="005B7F79">
        <w:rPr>
          <w:rStyle w:val="Ppogrubienie"/>
        </w:rPr>
        <w:t>§ 7.</w:t>
      </w:r>
      <w:r w:rsidRPr="005B7F79">
        <w:t xml:space="preserve"> 1. Uruchomienie rejestru nastąpi nie później niż w terminie 6 miesięcy od dnia wejścia</w:t>
      </w:r>
      <w:r w:rsidR="00A52E41">
        <w:t xml:space="preserve"> </w:t>
      </w:r>
      <w:r w:rsidRPr="005B7F79">
        <w:t>w życie rozporządzenia.</w:t>
      </w:r>
    </w:p>
    <w:p w14:paraId="1EC4E460" w14:textId="77777777" w:rsidR="001D2F9C" w:rsidRDefault="005B7F79" w:rsidP="005B7F79">
      <w:pPr>
        <w:pStyle w:val="USTustnpkodeksu"/>
      </w:pPr>
      <w:r w:rsidRPr="005B7F79">
        <w:t>2. Podmiot prowadzący rejestr, nie później niż po upływie 6 miesięcy od dnia wejścia w</w:t>
      </w:r>
      <w:r w:rsidR="002C1012">
        <w:t> </w:t>
      </w:r>
      <w:r w:rsidRPr="005B7F79">
        <w:t xml:space="preserve">życie rozporządzenia, poinformuje </w:t>
      </w:r>
      <w:r w:rsidR="00A544A1">
        <w:t xml:space="preserve">Narodowy Fundusz Zdrowia oraz </w:t>
      </w:r>
      <w:r w:rsidRPr="005B7F79">
        <w:t>usługodawców o</w:t>
      </w:r>
      <w:r w:rsidR="001D2F9C">
        <w:t>:</w:t>
      </w:r>
    </w:p>
    <w:p w14:paraId="35BDB224" w14:textId="5F829D31" w:rsidR="001D2F9C" w:rsidRPr="00C74B1B" w:rsidRDefault="00C74B1B" w:rsidP="00C74B1B">
      <w:pPr>
        <w:pStyle w:val="PKTpunkt"/>
      </w:pPr>
      <w:r w:rsidRPr="00C74B1B">
        <w:t>1</w:t>
      </w:r>
      <w:r w:rsidR="001D2F9C" w:rsidRPr="00C74B1B">
        <w:t xml:space="preserve">) </w:t>
      </w:r>
      <w:r w:rsidRPr="00C74B1B">
        <w:t>terminie uruchomienia rejestru;</w:t>
      </w:r>
    </w:p>
    <w:p w14:paraId="757B42DC" w14:textId="0CED80E5" w:rsidR="005B7F79" w:rsidRPr="00C74B1B" w:rsidRDefault="00C74B1B">
      <w:pPr>
        <w:pStyle w:val="PKTpunkt"/>
      </w:pPr>
      <w:r w:rsidRPr="00C74B1B">
        <w:t>2</w:t>
      </w:r>
      <w:r w:rsidR="001D2F9C" w:rsidRPr="00C74B1B">
        <w:t xml:space="preserve">) </w:t>
      </w:r>
      <w:r w:rsidR="005B7F79" w:rsidRPr="00C74B1B">
        <w:t>terminie, w którym dane i identyfikatory, o których mowa w § 4, przekazuje się po raz pierwszy.</w:t>
      </w:r>
    </w:p>
    <w:p w14:paraId="77F162DE" w14:textId="07702216" w:rsidR="00811E86" w:rsidRPr="001D2F9C" w:rsidRDefault="001D2F9C" w:rsidP="001D2F9C">
      <w:pPr>
        <w:pStyle w:val="USTustnpkodeksu"/>
        <w:rPr>
          <w:rStyle w:val="Ppogrubienie"/>
          <w:b w:val="0"/>
        </w:rPr>
      </w:pPr>
      <w:r w:rsidRPr="001D2F9C">
        <w:rPr>
          <w:rStyle w:val="Ppogrubienie"/>
          <w:b w:val="0"/>
        </w:rPr>
        <w:t>3.</w:t>
      </w:r>
      <w:r w:rsidR="00A77697" w:rsidRPr="001D2F9C">
        <w:rPr>
          <w:rStyle w:val="Ppogrubienie"/>
          <w:b w:val="0"/>
        </w:rPr>
        <w:t xml:space="preserve"> Podmioty, o których mowa w</w:t>
      </w:r>
      <w:r w:rsidR="00BF11E1" w:rsidRPr="001D2F9C">
        <w:rPr>
          <w:rStyle w:val="Ppogrubienie"/>
          <w:b w:val="0"/>
        </w:rPr>
        <w:t xml:space="preserve"> </w:t>
      </w:r>
      <w:r w:rsidR="00A77697" w:rsidRPr="001D2F9C">
        <w:t xml:space="preserve">§ 5 </w:t>
      </w:r>
      <w:r w:rsidR="00A544A1" w:rsidRPr="001D2F9C">
        <w:t xml:space="preserve">ust. 1 </w:t>
      </w:r>
      <w:r w:rsidR="00A77697" w:rsidRPr="001D2F9C">
        <w:t>pkt 1, przekazują dane i identyfikatory, o</w:t>
      </w:r>
      <w:r w:rsidR="002C1012" w:rsidRPr="001D2F9C">
        <w:t> </w:t>
      </w:r>
      <w:r w:rsidR="00A77697" w:rsidRPr="001D2F9C">
        <w:t xml:space="preserve">których mowa w § 4, w odniesieniu do usługobiorców, którym </w:t>
      </w:r>
      <w:r w:rsidR="00BF11E1" w:rsidRPr="001D2F9C">
        <w:t xml:space="preserve">udzielono </w:t>
      </w:r>
      <w:r w:rsidR="00A77697" w:rsidRPr="001D2F9C">
        <w:t xml:space="preserve">świadczeń opieki zdrowotnej od dnia </w:t>
      </w:r>
      <w:r w:rsidR="00BF11E1" w:rsidRPr="001D2F9C">
        <w:t xml:space="preserve">1 stycznia </w:t>
      </w:r>
      <w:r w:rsidR="00A77697" w:rsidRPr="001D2F9C">
        <w:t>2020 r., w terminie 3 miesięcy od dnia</w:t>
      </w:r>
      <w:r w:rsidRPr="001D2F9C">
        <w:t>,</w:t>
      </w:r>
      <w:r w:rsidR="00A77697" w:rsidRPr="001D2F9C">
        <w:t xml:space="preserve"> </w:t>
      </w:r>
      <w:r w:rsidRPr="001D2F9C">
        <w:t xml:space="preserve">o którym mowa w ust. 2 pkt </w:t>
      </w:r>
      <w:r w:rsidR="00C74B1B">
        <w:t>2</w:t>
      </w:r>
      <w:r w:rsidRPr="001D2F9C">
        <w:t>.</w:t>
      </w:r>
    </w:p>
    <w:p w14:paraId="058258C6" w14:textId="385B910C" w:rsidR="00A77697" w:rsidRPr="00A77697" w:rsidRDefault="00A77697" w:rsidP="00C74B1B">
      <w:pPr>
        <w:pStyle w:val="ARTartustawynprozporzdzenia"/>
      </w:pPr>
      <w:bookmarkStart w:id="10" w:name="_Hlk47966421"/>
      <w:r w:rsidRPr="00A77697">
        <w:rPr>
          <w:rStyle w:val="Ppogrubienie"/>
        </w:rPr>
        <w:t>§</w:t>
      </w:r>
      <w:bookmarkEnd w:id="10"/>
      <w:r w:rsidRPr="00A77697">
        <w:rPr>
          <w:rStyle w:val="Ppogrubienie"/>
        </w:rPr>
        <w:t xml:space="preserve"> </w:t>
      </w:r>
      <w:r w:rsidR="00C74B1B">
        <w:rPr>
          <w:rStyle w:val="Ppogrubienie"/>
        </w:rPr>
        <w:t>8</w:t>
      </w:r>
      <w:r w:rsidRPr="00A77697">
        <w:rPr>
          <w:rStyle w:val="Ppogrubienie"/>
        </w:rPr>
        <w:t xml:space="preserve">. </w:t>
      </w:r>
      <w:r w:rsidRPr="00A77697">
        <w:t xml:space="preserve">Rozporządzenie wchodzi w życie po upływie 14 dni od dnia ogłoszenia. </w:t>
      </w:r>
    </w:p>
    <w:p w14:paraId="53C71557" w14:textId="77777777" w:rsidR="00782272" w:rsidRDefault="00782272" w:rsidP="00A77697">
      <w:pPr>
        <w:pStyle w:val="NAZORGWYDnazwaorganuwydajcegoprojektowanyakt"/>
      </w:pPr>
    </w:p>
    <w:p w14:paraId="74946830" w14:textId="56D8BC92" w:rsidR="00A77697" w:rsidRPr="00A77697" w:rsidRDefault="00A77697" w:rsidP="00A77697">
      <w:pPr>
        <w:pStyle w:val="NAZORGWYDnazwaorganuwydajcegoprojektowanyakt"/>
      </w:pPr>
      <w:r w:rsidRPr="00A77697">
        <w:t>MINISTER ZDROWIA</w:t>
      </w:r>
    </w:p>
    <w:p w14:paraId="52391CE5" w14:textId="77777777" w:rsidR="005B7F79" w:rsidRPr="005B7F79" w:rsidRDefault="005B7F79" w:rsidP="005B7F79">
      <w:pPr>
        <w:rPr>
          <w:rStyle w:val="Ppogrubienie"/>
        </w:rPr>
      </w:pPr>
      <w:bookmarkStart w:id="11" w:name="ezdPracownikNazwa"/>
      <w:bookmarkStart w:id="12" w:name="ezdPracownikStanowisko"/>
      <w:bookmarkStart w:id="13" w:name="ezdPracownikAtrybut3"/>
      <w:bookmarkEnd w:id="11"/>
      <w:bookmarkEnd w:id="12"/>
      <w:bookmarkEnd w:id="13"/>
    </w:p>
    <w:p w14:paraId="741652C2" w14:textId="4E658D7D" w:rsidR="005B7F79" w:rsidRPr="005B7F79" w:rsidRDefault="005B7F79" w:rsidP="003576A8">
      <w:pPr>
        <w:pStyle w:val="NIEARTTEKSTtekstnieartykuowanynppodstprawnarozplubpreambua"/>
        <w:jc w:val="center"/>
        <w:rPr>
          <w:rStyle w:val="Ppogrubienie"/>
        </w:rPr>
      </w:pPr>
      <w:r w:rsidRPr="005B7F79">
        <w:rPr>
          <w:rStyle w:val="Ppogrubienie"/>
        </w:rPr>
        <w:lastRenderedPageBreak/>
        <w:t>UZASADNIENIE</w:t>
      </w:r>
    </w:p>
    <w:p w14:paraId="1771C6F4" w14:textId="77777777" w:rsidR="005B7F79" w:rsidRPr="005B7F79" w:rsidRDefault="005B7F79" w:rsidP="005B7F79">
      <w:pPr>
        <w:rPr>
          <w:rStyle w:val="Ppogrubienie"/>
        </w:rPr>
      </w:pPr>
    </w:p>
    <w:p w14:paraId="6E383311" w14:textId="186441EC" w:rsidR="005B7F79" w:rsidRDefault="005B7F79" w:rsidP="00236474">
      <w:pPr>
        <w:pStyle w:val="NIEARTTEKSTtekstnieartykuowanynppodstprawnarozplubpreambua"/>
      </w:pPr>
      <w:r w:rsidRPr="005B7F79">
        <w:t>Projekt rozporządzenia w sprawie ogólnopolskiego kardiologiczno-kardiochirurgicznego rejestru przezcewnikowego leczenia zastawek serca „POL-</w:t>
      </w:r>
      <w:proofErr w:type="spellStart"/>
      <w:r w:rsidRPr="005B7F79">
        <w:t>TaVALVE</w:t>
      </w:r>
      <w:proofErr w:type="spellEnd"/>
      <w:r w:rsidRPr="005B7F79">
        <w:t>”</w:t>
      </w:r>
      <w:r w:rsidR="00E37030">
        <w:t xml:space="preserve"> </w:t>
      </w:r>
      <w:r w:rsidRPr="005B7F79">
        <w:t>stanowi realizację upoważnienia ustawowego zawartego w art. 20 ust. 1 ustawy z dnia 28 kwietnia 2011 r. o</w:t>
      </w:r>
      <w:r w:rsidR="00774B6E">
        <w:t> </w:t>
      </w:r>
      <w:r w:rsidRPr="005B7F79">
        <w:t>systemie informacji w ochronie zdrowia (Dz. U. z 2020 r. poz. 702</w:t>
      </w:r>
      <w:r w:rsidR="005343C3">
        <w:t>,</w:t>
      </w:r>
      <w:r w:rsidR="008B58D8">
        <w:t xml:space="preserve"> </w:t>
      </w:r>
      <w:r w:rsidR="005343C3">
        <w:t>z późn. zm.</w:t>
      </w:r>
      <w:r w:rsidRPr="005B7F79">
        <w:t>), zwanej dalej „ustawą”.</w:t>
      </w:r>
      <w:r w:rsidR="00236474">
        <w:t xml:space="preserve"> </w:t>
      </w:r>
      <w:r w:rsidRPr="005B7F79">
        <w:t>Opracowanie projektu rozporządzenia zostało poprzedzone analizą potrzeby utworzenia tego rejestru, zgodnie z art. 19 ust. 3 ustawy.</w:t>
      </w:r>
    </w:p>
    <w:p w14:paraId="01E56E71" w14:textId="4658C978" w:rsidR="0078379F" w:rsidRDefault="005B7F79" w:rsidP="00236474">
      <w:pPr>
        <w:pStyle w:val="NIEARTTEKSTtekstnieartykuowanynppodstprawnarozplubpreambua"/>
      </w:pPr>
      <w:r w:rsidRPr="005B7F79">
        <w:t>Na przestrzeni ostatnich kilkunastu lat w leczeniu chorób układu krążenia opracowano i</w:t>
      </w:r>
      <w:r w:rsidR="00236474">
        <w:t> </w:t>
      </w:r>
      <w:r w:rsidRPr="005B7F79">
        <w:t>rozpowszechniono przezcewnikowe metody leczenia zastawek serca</w:t>
      </w:r>
      <w:r w:rsidR="00236474">
        <w:t>.</w:t>
      </w:r>
      <w:r w:rsidRPr="005B7F79">
        <w:t xml:space="preserve"> Zabiegi te wymagają szczególnych kompetencji od operatorów i zespołu medycznego</w:t>
      </w:r>
      <w:r w:rsidR="00236474">
        <w:t xml:space="preserve"> warunkujących </w:t>
      </w:r>
      <w:r w:rsidRPr="005B7F79">
        <w:t xml:space="preserve">wysoki standard opieki nad pacjentami. </w:t>
      </w:r>
      <w:r w:rsidR="00236474">
        <w:t xml:space="preserve">Ze względu na nowatorstwo tych technologii medycznych, jak również </w:t>
      </w:r>
      <w:r w:rsidR="00236474" w:rsidRPr="005B7F79">
        <w:t>wysokie jednostkowe koszty</w:t>
      </w:r>
      <w:r w:rsidR="00236474">
        <w:t xml:space="preserve"> tych zabiegów, </w:t>
      </w:r>
      <w:r w:rsidR="008B58D8">
        <w:t xml:space="preserve">jest </w:t>
      </w:r>
      <w:r w:rsidR="00236474">
        <w:t xml:space="preserve">uzasadnione utworzenie rejestru medycznego mającego na celu monitorowanie i ocenę </w:t>
      </w:r>
      <w:r w:rsidR="00921874">
        <w:t xml:space="preserve">jakości, bezpieczeństwa, </w:t>
      </w:r>
      <w:r w:rsidR="00236474">
        <w:t xml:space="preserve">skuteczności i efektywności wykonywania zabiegów leczenia zastawek serca metodami przezcewnikowymi. </w:t>
      </w:r>
    </w:p>
    <w:p w14:paraId="1EE852E6" w14:textId="2E83ED9C" w:rsidR="00A544A1" w:rsidRPr="005B7F79" w:rsidRDefault="00236474" w:rsidP="00A544A1">
      <w:pPr>
        <w:pStyle w:val="NIEARTTEKSTtekstnieartykuowanynppodstprawnarozplubpreambua"/>
      </w:pPr>
      <w:r>
        <w:t>Projekt rozporządzenia zakłada utworzenie o</w:t>
      </w:r>
      <w:r w:rsidR="007E6596" w:rsidRPr="007E6596">
        <w:t>gólnopolski</w:t>
      </w:r>
      <w:r>
        <w:t>ego</w:t>
      </w:r>
      <w:r w:rsidR="007E6596" w:rsidRPr="007E6596">
        <w:t xml:space="preserve"> kardiologiczno-kardiochirurgiczn</w:t>
      </w:r>
      <w:r w:rsidR="007E6596">
        <w:t>y</w:t>
      </w:r>
      <w:r w:rsidR="007E6596" w:rsidRPr="007E6596">
        <w:t xml:space="preserve"> rejestr</w:t>
      </w:r>
      <w:r>
        <w:t>u</w:t>
      </w:r>
      <w:r w:rsidR="007E6596" w:rsidRPr="007E6596">
        <w:t xml:space="preserve"> przezcewnikowego leczenia zastawek serca „POL-</w:t>
      </w:r>
      <w:proofErr w:type="spellStart"/>
      <w:r w:rsidR="007E6596" w:rsidRPr="007E6596">
        <w:t>TaVALVE</w:t>
      </w:r>
      <w:proofErr w:type="spellEnd"/>
      <w:r w:rsidR="007E6596" w:rsidRPr="007E6596">
        <w:t>”</w:t>
      </w:r>
      <w:r w:rsidR="007E6596">
        <w:t>, zwa</w:t>
      </w:r>
      <w:r>
        <w:t>nego</w:t>
      </w:r>
      <w:r w:rsidR="007E6596">
        <w:t xml:space="preserve"> dalej </w:t>
      </w:r>
      <w:r w:rsidR="00896DB3" w:rsidRPr="00896DB3">
        <w:t>„</w:t>
      </w:r>
      <w:r w:rsidR="00896DB3">
        <w:t>rejestrem</w:t>
      </w:r>
      <w:r w:rsidR="00896DB3" w:rsidRPr="00896DB3">
        <w:t>”</w:t>
      </w:r>
      <w:r>
        <w:t xml:space="preserve">. Rejestr będzie gromadził informację o wykonywanych w </w:t>
      </w:r>
      <w:r w:rsidR="008B58D8">
        <w:t xml:space="preserve">Rzeczypospolitej </w:t>
      </w:r>
      <w:r>
        <w:t>Pols</w:t>
      </w:r>
      <w:r w:rsidR="008B58D8">
        <w:t>kiej</w:t>
      </w:r>
      <w:r>
        <w:t xml:space="preserve"> przezcewnikowych zabiegach na zastawkach serca</w:t>
      </w:r>
      <w:r w:rsidR="000F4F9D">
        <w:t xml:space="preserve"> u osób powyżej 18 roku życia</w:t>
      </w:r>
      <w:r>
        <w:t>, tj. zastawce aortalnej, mitralnej, trójdzielnej i płucnej. Analiza gromadzonych danych pozwoli na obiektywną ocenę</w:t>
      </w:r>
      <w:r w:rsidR="0078379F">
        <w:t xml:space="preserve"> </w:t>
      </w:r>
      <w:r w:rsidR="005B7F79" w:rsidRPr="005B7F79">
        <w:t xml:space="preserve">wyników zastosowanego leczenia </w:t>
      </w:r>
      <w:r w:rsidR="00A544A1" w:rsidRPr="00A544A1">
        <w:t>u usługobiorców w perspektywie wczesnej, średnio</w:t>
      </w:r>
      <w:r w:rsidR="008B58D8">
        <w:t>-,</w:t>
      </w:r>
      <w:r w:rsidR="00A544A1" w:rsidRPr="00A544A1">
        <w:t xml:space="preserve"> jak i</w:t>
      </w:r>
      <w:r w:rsidR="0078379F">
        <w:t> </w:t>
      </w:r>
      <w:r w:rsidR="00A544A1" w:rsidRPr="00A544A1">
        <w:t xml:space="preserve">długoterminowej w podmiotach wykonujących te wysokospecjalistyczne świadczenia. </w:t>
      </w:r>
      <w:r w:rsidR="0078379F">
        <w:t xml:space="preserve">Zakłada się, że </w:t>
      </w:r>
      <w:r w:rsidR="00A544A1" w:rsidRPr="005B7F79">
        <w:t>wdrożenie rejestru pozwoli na:</w:t>
      </w:r>
    </w:p>
    <w:p w14:paraId="5797B2C0" w14:textId="38A071BC" w:rsidR="0078379F" w:rsidRPr="005B7F79" w:rsidRDefault="0078379F" w:rsidP="0078379F">
      <w:pPr>
        <w:pStyle w:val="ARTartustawynprozporzdzenia"/>
      </w:pPr>
      <w:r>
        <w:t>1) monitorowanie jakości, skuteczności i bezpieczeństwa leczenia wad serca metodami przezcewnikowymi w perspektywie wczesnej, średnio</w:t>
      </w:r>
      <w:r w:rsidR="008B58D8">
        <w:t>-</w:t>
      </w:r>
      <w:r>
        <w:t xml:space="preserve"> i długoterminowej;</w:t>
      </w:r>
    </w:p>
    <w:p w14:paraId="0F1FCB39" w14:textId="038233BD" w:rsidR="0078379F" w:rsidRPr="005B7F79" w:rsidRDefault="0078379F" w:rsidP="0078379F">
      <w:pPr>
        <w:pStyle w:val="ARTartustawynprozporzdzenia"/>
      </w:pPr>
      <w:r>
        <w:t xml:space="preserve">2) </w:t>
      </w:r>
      <w:r w:rsidRPr="005B7F79">
        <w:t>monitorowanie wskazań i przeciwwskazań do leczenia wad serca metodami przezcewnikowymi;</w:t>
      </w:r>
    </w:p>
    <w:p w14:paraId="24F37DAD" w14:textId="3AD6CE3E" w:rsidR="0078379F" w:rsidRPr="005B7F79" w:rsidRDefault="0078379F" w:rsidP="0078379F">
      <w:pPr>
        <w:pStyle w:val="ARTartustawynprozporzdzenia"/>
      </w:pPr>
      <w:r>
        <w:t xml:space="preserve">3) </w:t>
      </w:r>
      <w:r w:rsidRPr="005B7F79">
        <w:t>zdefiniowanie istotnych czynników ryzyka wczesnych i odległych powikłań i</w:t>
      </w:r>
      <w:r w:rsidR="00BC0989">
        <w:t> </w:t>
      </w:r>
      <w:r w:rsidRPr="005B7F79">
        <w:t xml:space="preserve">niepowodzeń po leczeniu </w:t>
      </w:r>
      <w:r>
        <w:t>usługobiorców</w:t>
      </w:r>
      <w:r w:rsidRPr="005B7F79">
        <w:t xml:space="preserve"> metodami przezcewnikowymi;</w:t>
      </w:r>
    </w:p>
    <w:p w14:paraId="2C292772" w14:textId="764C1960" w:rsidR="0078379F" w:rsidRPr="005B7F79" w:rsidRDefault="0078379F" w:rsidP="0078379F">
      <w:pPr>
        <w:pStyle w:val="ARTartustawynprozporzdzenia"/>
      </w:pPr>
      <w:r>
        <w:t xml:space="preserve">4) </w:t>
      </w:r>
      <w:r w:rsidRPr="005B7F79">
        <w:t>opracowanie metod skutecznego zapobiegania</w:t>
      </w:r>
      <w:r>
        <w:t xml:space="preserve"> powikłaniom około- i pozabiegowym</w:t>
      </w:r>
      <w:r w:rsidRPr="005B7F79">
        <w:t>;</w:t>
      </w:r>
    </w:p>
    <w:p w14:paraId="41DB12D6" w14:textId="27CBA902" w:rsidR="0078379F" w:rsidRPr="005B7F79" w:rsidRDefault="0078379F" w:rsidP="0078379F">
      <w:pPr>
        <w:pStyle w:val="ARTartustawynprozporzdzenia"/>
      </w:pPr>
      <w:r>
        <w:t xml:space="preserve">5) </w:t>
      </w:r>
      <w:r w:rsidRPr="005B7F79">
        <w:t xml:space="preserve">poprawę </w:t>
      </w:r>
      <w:r>
        <w:t>praktyki klinicznej w leczeniu wad zastawkowych;</w:t>
      </w:r>
    </w:p>
    <w:p w14:paraId="27F51E7F" w14:textId="77777777" w:rsidR="00BC0989" w:rsidRDefault="0078379F" w:rsidP="001F71C8">
      <w:pPr>
        <w:pStyle w:val="ARTartustawynprozporzdzenia"/>
      </w:pPr>
      <w:r>
        <w:lastRenderedPageBreak/>
        <w:t>6</w:t>
      </w:r>
      <w:r w:rsidR="00A544A1">
        <w:t xml:space="preserve">) </w:t>
      </w:r>
      <w:r w:rsidR="00A544A1" w:rsidRPr="0063253B">
        <w:t>przeprowadzenie analizy porównawczej</w:t>
      </w:r>
      <w:r w:rsidR="00A544A1">
        <w:t xml:space="preserve"> </w:t>
      </w:r>
      <w:r>
        <w:t xml:space="preserve">poszczególnych usługodawców pod względem osiąganych </w:t>
      </w:r>
      <w:r w:rsidR="00A544A1" w:rsidRPr="0063253B">
        <w:t xml:space="preserve">wyników leczenia </w:t>
      </w:r>
      <w:r>
        <w:t>wad serca metodami przezcewnikowymi</w:t>
      </w:r>
      <w:r w:rsidR="00BC0989">
        <w:t>;</w:t>
      </w:r>
    </w:p>
    <w:p w14:paraId="5C84F5CC" w14:textId="3B037FA8" w:rsidR="00B3579B" w:rsidRDefault="00BC0989" w:rsidP="00B3579B">
      <w:pPr>
        <w:pStyle w:val="ARTartustawynprozporzdzenia"/>
      </w:pPr>
      <w:r>
        <w:t xml:space="preserve">7) </w:t>
      </w:r>
      <w:r w:rsidR="00B3579B">
        <w:t xml:space="preserve">przeprowadzenie analizy </w:t>
      </w:r>
      <w:r w:rsidR="00B3579B" w:rsidRPr="0063253B">
        <w:t xml:space="preserve">wyników leczenia </w:t>
      </w:r>
      <w:r w:rsidR="00B3579B">
        <w:t xml:space="preserve">wad serca metodami przezcewnikowymi </w:t>
      </w:r>
      <w:r>
        <w:t xml:space="preserve">w odniesieniu do </w:t>
      </w:r>
      <w:r w:rsidR="00B3579B">
        <w:t xml:space="preserve">wyników osiąganych </w:t>
      </w:r>
      <w:r w:rsidR="00941284">
        <w:t xml:space="preserve">przy zastosowaniu </w:t>
      </w:r>
      <w:r w:rsidR="00B3579B">
        <w:t>metod</w:t>
      </w:r>
      <w:r>
        <w:t xml:space="preserve"> chirurgiczny</w:t>
      </w:r>
      <w:r w:rsidR="00B3579B">
        <w:t>ch</w:t>
      </w:r>
      <w:r w:rsidR="00941284">
        <w:t>,</w:t>
      </w:r>
      <w:r w:rsidR="00B3579B">
        <w:t xml:space="preserve"> gromadzony</w:t>
      </w:r>
      <w:r w:rsidR="00941284">
        <w:t xml:space="preserve">ch </w:t>
      </w:r>
      <w:r w:rsidR="00B3579B">
        <w:t xml:space="preserve">w </w:t>
      </w:r>
      <w:r w:rsidR="00A544A1" w:rsidRPr="005D0D2A">
        <w:t>Krajowy</w:t>
      </w:r>
      <w:r w:rsidR="00B3579B">
        <w:t>m</w:t>
      </w:r>
      <w:r w:rsidR="00A544A1" w:rsidRPr="005D0D2A">
        <w:t xml:space="preserve"> Rejestr</w:t>
      </w:r>
      <w:r w:rsidR="00B3579B">
        <w:t>ze</w:t>
      </w:r>
      <w:r w:rsidR="00A544A1" w:rsidRPr="005D0D2A">
        <w:t xml:space="preserve"> Operacji Kardiochirurgicznych. </w:t>
      </w:r>
    </w:p>
    <w:p w14:paraId="641EBBB0" w14:textId="21CD316B" w:rsidR="00A544A1" w:rsidRDefault="00B3579B" w:rsidP="00B3579B">
      <w:pPr>
        <w:pStyle w:val="NIEARTTEKSTtekstnieartykuowanynppodstprawnarozplubpreambua"/>
      </w:pPr>
      <w:r w:rsidRPr="005D0D2A">
        <w:t xml:space="preserve">W </w:t>
      </w:r>
      <w:r w:rsidR="008B58D8">
        <w:t xml:space="preserve">państwach członkowskich </w:t>
      </w:r>
      <w:r w:rsidRPr="005D0D2A">
        <w:t xml:space="preserve">Unii Europejskiej i na świecie od wielu lat istnieją rejestry </w:t>
      </w:r>
      <w:r>
        <w:t xml:space="preserve">medyczne </w:t>
      </w:r>
      <w:r w:rsidRPr="005D0D2A">
        <w:t xml:space="preserve">służące gromadzeniu i ewaluacji danych o przeprowadzanych procedurach przezcewnikowego leczenia zastawek serca, które są źródłem obiektywnej i wiarygodnej informacji pozwalającej </w:t>
      </w:r>
      <w:r>
        <w:t xml:space="preserve">na </w:t>
      </w:r>
      <w:r w:rsidRPr="005D0D2A">
        <w:t>monitorow</w:t>
      </w:r>
      <w:r>
        <w:t xml:space="preserve">anie </w:t>
      </w:r>
      <w:r w:rsidR="00CE0703">
        <w:t xml:space="preserve">bezpieczeństwa i </w:t>
      </w:r>
      <w:r w:rsidRPr="005D0D2A">
        <w:t>skutecznoś</w:t>
      </w:r>
      <w:r>
        <w:t>ci</w:t>
      </w:r>
      <w:r w:rsidRPr="005D0D2A">
        <w:t xml:space="preserve"> leczenia wad zastawkowych serca u osób, u</w:t>
      </w:r>
      <w:r w:rsidR="00CE0703">
        <w:t> </w:t>
      </w:r>
      <w:r w:rsidRPr="005D0D2A">
        <w:t xml:space="preserve">których leczenie metodą chirurgiczną jest niewskazane lub jest obarczone zbyt wysokim ryzykiem operacyjnym. </w:t>
      </w:r>
      <w:r w:rsidR="00A544A1" w:rsidRPr="005D0D2A">
        <w:t xml:space="preserve">Utworzenie podobnego rejestru w </w:t>
      </w:r>
      <w:r w:rsidR="008B58D8">
        <w:t xml:space="preserve">Rzeczypospolitej </w:t>
      </w:r>
      <w:r w:rsidR="00A544A1" w:rsidRPr="005D0D2A">
        <w:t>Pols</w:t>
      </w:r>
      <w:r w:rsidR="008B58D8">
        <w:t>kiej</w:t>
      </w:r>
      <w:r w:rsidR="00A544A1" w:rsidRPr="005D0D2A">
        <w:t xml:space="preserve"> pozwoli na </w:t>
      </w:r>
      <w:r w:rsidR="00A544A1">
        <w:t>poszerzenie aktualnej</w:t>
      </w:r>
      <w:r w:rsidR="00A544A1" w:rsidRPr="005D0D2A">
        <w:t xml:space="preserve"> wiedzy </w:t>
      </w:r>
      <w:r>
        <w:t xml:space="preserve">medycznej </w:t>
      </w:r>
      <w:r w:rsidR="00A544A1" w:rsidRPr="005D0D2A">
        <w:t xml:space="preserve">na temat </w:t>
      </w:r>
      <w:r w:rsidR="00CE0703" w:rsidRPr="005D0D2A">
        <w:t xml:space="preserve">bezpieczeństwa </w:t>
      </w:r>
      <w:r w:rsidR="00CE0703">
        <w:t xml:space="preserve">i </w:t>
      </w:r>
      <w:r w:rsidR="00A544A1" w:rsidRPr="005D0D2A">
        <w:t xml:space="preserve">skuteczności </w:t>
      </w:r>
      <w:r w:rsidR="00A544A1">
        <w:t xml:space="preserve">przezcewnikowej </w:t>
      </w:r>
      <w:r w:rsidR="00A544A1" w:rsidRPr="005D0D2A">
        <w:t>metod</w:t>
      </w:r>
      <w:r>
        <w:t>y</w:t>
      </w:r>
      <w:r w:rsidR="00A544A1" w:rsidRPr="005D0D2A">
        <w:t xml:space="preserve"> leczenia</w:t>
      </w:r>
      <w:r w:rsidR="00493450">
        <w:t xml:space="preserve">, jak również </w:t>
      </w:r>
      <w:r w:rsidR="00493450" w:rsidRPr="00466F8F">
        <w:t xml:space="preserve">porównanie wyników przezcewnikowego leczenia zastawek serca w </w:t>
      </w:r>
      <w:r w:rsidR="008B58D8">
        <w:t xml:space="preserve">Rzeczypospolitej </w:t>
      </w:r>
      <w:r w:rsidR="00493450">
        <w:t>Pols</w:t>
      </w:r>
      <w:r w:rsidR="008B58D8">
        <w:t>kiej</w:t>
      </w:r>
      <w:r w:rsidR="00493450" w:rsidRPr="00466F8F">
        <w:t xml:space="preserve"> z danymi pochodzącymi z innych krajów </w:t>
      </w:r>
      <w:r w:rsidR="00493450">
        <w:t>prowadzących podobne rejestry medyczne</w:t>
      </w:r>
      <w:r w:rsidR="00493450" w:rsidRPr="00466F8F">
        <w:t>.</w:t>
      </w:r>
      <w:r w:rsidR="00493450">
        <w:t xml:space="preserve"> </w:t>
      </w:r>
      <w:r w:rsidR="00A544A1">
        <w:t>Dzięki temu rejestr b</w:t>
      </w:r>
      <w:r w:rsidR="00A544A1" w:rsidRPr="005D0D2A">
        <w:t>ędzie</w:t>
      </w:r>
      <w:r w:rsidR="00A544A1">
        <w:t xml:space="preserve"> mógł</w:t>
      </w:r>
      <w:r w:rsidR="00A544A1" w:rsidRPr="005D0D2A">
        <w:t xml:space="preserve"> stanowić podstawę do ustalenia w przyszłości optymalnych standardów leczenia wad zastawkowych serca</w:t>
      </w:r>
      <w:r>
        <w:t xml:space="preserve"> w </w:t>
      </w:r>
      <w:r w:rsidR="008B58D8">
        <w:t>kraju</w:t>
      </w:r>
      <w:r>
        <w:t>, jak również na świecie</w:t>
      </w:r>
      <w:r w:rsidR="00A544A1" w:rsidRPr="005D0D2A">
        <w:t>.</w:t>
      </w:r>
    </w:p>
    <w:p w14:paraId="0D5EBD33" w14:textId="32C77968" w:rsidR="00A544A1" w:rsidRDefault="00A544A1" w:rsidP="00782272">
      <w:pPr>
        <w:pStyle w:val="NIEARTTEKSTtekstnieartykuowanynppodstprawnarozplubpreambua"/>
      </w:pPr>
      <w:r w:rsidRPr="005B7F79">
        <w:t xml:space="preserve">Rejestr </w:t>
      </w:r>
      <w:r w:rsidRPr="002D20FF">
        <w:t>będzie prowadzony w systemie teleinformatycznym</w:t>
      </w:r>
      <w:r w:rsidR="007403F0">
        <w:t xml:space="preserve"> zapewniającym </w:t>
      </w:r>
      <w:r>
        <w:t xml:space="preserve">interoperacyjność i </w:t>
      </w:r>
      <w:r w:rsidRPr="002D20FF">
        <w:t>powiązanie z innymi rejestrami</w:t>
      </w:r>
      <w:r w:rsidR="007403F0">
        <w:t xml:space="preserve"> medycznymi,</w:t>
      </w:r>
      <w:r w:rsidRPr="002D20FF">
        <w:t xml:space="preserve"> w szczególności z</w:t>
      </w:r>
      <w:r w:rsidR="007403F0">
        <w:t> </w:t>
      </w:r>
      <w:r w:rsidRPr="002D20FF">
        <w:t>Narodow</w:t>
      </w:r>
      <w:r>
        <w:t>ym</w:t>
      </w:r>
      <w:r w:rsidRPr="002D20FF">
        <w:t xml:space="preserve"> Fundusz</w:t>
      </w:r>
      <w:r>
        <w:t>em</w:t>
      </w:r>
      <w:r w:rsidRPr="002D20FF">
        <w:t xml:space="preserve"> Zdrowia </w:t>
      </w:r>
      <w:r w:rsidR="00171DAF">
        <w:t>i</w:t>
      </w:r>
      <w:r w:rsidR="005C4003">
        <w:t xml:space="preserve"> </w:t>
      </w:r>
      <w:r w:rsidR="005C4003" w:rsidRPr="005C4003">
        <w:t>innymi rejestrami kardiologicznymi i kardiochirurgicznymi</w:t>
      </w:r>
      <w:r w:rsidRPr="002D20FF">
        <w:t xml:space="preserve">. </w:t>
      </w:r>
      <w:r w:rsidR="007403F0">
        <w:t xml:space="preserve">Rejestr będzie wykorzystywał szeroko stosowane w ochronie zdrowia skale i klasyfikacje, w tym </w:t>
      </w:r>
      <w:r w:rsidR="007403F0" w:rsidRPr="002D20FF">
        <w:t>Międzynarodow</w:t>
      </w:r>
      <w:r w:rsidR="007403F0">
        <w:t>ą</w:t>
      </w:r>
      <w:r w:rsidR="007403F0" w:rsidRPr="002D20FF">
        <w:t xml:space="preserve"> Statystyczn</w:t>
      </w:r>
      <w:r w:rsidR="007403F0">
        <w:t>ą</w:t>
      </w:r>
      <w:r w:rsidR="007403F0" w:rsidRPr="002D20FF">
        <w:t xml:space="preserve"> Klasyfikacj</w:t>
      </w:r>
      <w:r w:rsidR="007403F0">
        <w:t>ę</w:t>
      </w:r>
      <w:r w:rsidR="007403F0" w:rsidRPr="002D20FF">
        <w:t xml:space="preserve"> Chorób i Problemów Zdrowotnych (ICD</w:t>
      </w:r>
      <w:r w:rsidR="00847DCB">
        <w:t>-10</w:t>
      </w:r>
      <w:r w:rsidR="007403F0" w:rsidRPr="002D20FF">
        <w:t>)</w:t>
      </w:r>
      <w:r w:rsidR="007403F0">
        <w:t xml:space="preserve">. </w:t>
      </w:r>
      <w:r w:rsidRPr="002D20FF">
        <w:t>W</w:t>
      </w:r>
      <w:r w:rsidR="00493450">
        <w:t> </w:t>
      </w:r>
      <w:r w:rsidRPr="002D20FF">
        <w:t xml:space="preserve">przypadku daty i przyczyny zgonu (§ 4 pkt 1 lit. h), zarówno usługodawcy, jak i Narodowy Fundusz Zdrowia, </w:t>
      </w:r>
      <w:r w:rsidR="008B58D8">
        <w:t xml:space="preserve">będą </w:t>
      </w:r>
      <w:r w:rsidRPr="002D20FF">
        <w:t>przekazywać informacje odnoszące się do zgonów szpitalnych.</w:t>
      </w:r>
      <w:r w:rsidR="00782272">
        <w:t xml:space="preserve"> </w:t>
      </w:r>
      <w:r w:rsidR="00782272" w:rsidRPr="00782272">
        <w:t xml:space="preserve">Podmiot prowadzący rejestr w celu ułatwienia wprowadzania danych podejmie działania mające na celu zautomatyzowanie części pól oraz systematyczny rozwój </w:t>
      </w:r>
      <w:bookmarkStart w:id="14" w:name="_Hlk57913642"/>
      <w:r w:rsidR="00E04468" w:rsidRPr="00E04468">
        <w:t>funkcjonalności systemu tak by rejestr był bardziej przyjazny dla użytkowników</w:t>
      </w:r>
      <w:bookmarkEnd w:id="14"/>
      <w:r w:rsidR="00E04468" w:rsidRPr="00E04468">
        <w:t xml:space="preserve"> </w:t>
      </w:r>
      <w:r w:rsidR="00782272" w:rsidRPr="00782272">
        <w:t>(np. wygaszanie pól nieaktywnych dla danego przypadku klinicznego).</w:t>
      </w:r>
    </w:p>
    <w:p w14:paraId="01FBEC6D" w14:textId="4885B6A0" w:rsidR="00DB393B" w:rsidRPr="00DB393B" w:rsidRDefault="00CA346A" w:rsidP="001D2F9C">
      <w:pPr>
        <w:pStyle w:val="ARTartustawynprozporzdzenia"/>
      </w:pPr>
      <w:r>
        <w:t xml:space="preserve">Podmiot prowadzący rejestr przeprowadzi ocenę skutków </w:t>
      </w:r>
      <w:r w:rsidR="002553DE">
        <w:t>dla ochrony</w:t>
      </w:r>
      <w:r>
        <w:t xml:space="preserve"> danych </w:t>
      </w:r>
      <w:r w:rsidR="0023086E">
        <w:t xml:space="preserve">osobowych </w:t>
      </w:r>
      <w:r>
        <w:t xml:space="preserve">zgodnie z </w:t>
      </w:r>
      <w:r w:rsidR="002553DE">
        <w:t xml:space="preserve">art. 35 </w:t>
      </w:r>
      <w:r w:rsidR="002553DE" w:rsidRPr="002553DE">
        <w:t xml:space="preserve">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="002553DE" w:rsidRPr="002553DE">
        <w:lastRenderedPageBreak/>
        <w:t>95/46/WE (ogólne rozporządzenie o ochronie danych)</w:t>
      </w:r>
      <w:r w:rsidR="002553DE">
        <w:t xml:space="preserve"> (</w:t>
      </w:r>
      <w:r w:rsidR="002553DE" w:rsidRPr="002553DE">
        <w:t>Dz.</w:t>
      </w:r>
      <w:r w:rsidR="0023086E">
        <w:t xml:space="preserve"> </w:t>
      </w:r>
      <w:r w:rsidR="002553DE" w:rsidRPr="002553DE">
        <w:t>Urz.</w:t>
      </w:r>
      <w:r w:rsidR="0023086E">
        <w:t xml:space="preserve"> </w:t>
      </w:r>
      <w:r w:rsidR="002553DE" w:rsidRPr="002553DE">
        <w:t>UE.</w:t>
      </w:r>
      <w:r w:rsidR="0023086E">
        <w:t xml:space="preserve"> </w:t>
      </w:r>
      <w:r w:rsidR="002553DE" w:rsidRPr="002553DE">
        <w:t>L 2016 119</w:t>
      </w:r>
      <w:r w:rsidR="0023086E">
        <w:t xml:space="preserve"> z 0</w:t>
      </w:r>
      <w:r w:rsidR="0023086E" w:rsidRPr="00D07A63">
        <w:t>4.05.2016</w:t>
      </w:r>
      <w:r w:rsidR="0023086E">
        <w:t xml:space="preserve"> </w:t>
      </w:r>
      <w:r w:rsidR="002553DE" w:rsidRPr="002553DE">
        <w:t>, str. 1</w:t>
      </w:r>
      <w:r w:rsidR="0023086E">
        <w:t>, z późn. zm.</w:t>
      </w:r>
      <w:r w:rsidR="002553DE">
        <w:t>).</w:t>
      </w:r>
    </w:p>
    <w:p w14:paraId="1EE9FE59" w14:textId="77777777" w:rsidR="005B7F79" w:rsidRPr="005B7F79" w:rsidRDefault="005B7F79" w:rsidP="005B7F79">
      <w:pPr>
        <w:pStyle w:val="NIEARTTEKSTtekstnieartykuowanynppodstprawnarozplubpreambua"/>
      </w:pPr>
      <w:r w:rsidRPr="005B7F79">
        <w:t>W projektowanym rozporządzeniu określono maksymalny 6-miesięczny termin na przeprowadzenie niezbędnych prac przygotowawczych, po upływie którego rejestr zostanie uruchomiony.</w:t>
      </w:r>
    </w:p>
    <w:p w14:paraId="11CF6F35" w14:textId="77777777" w:rsidR="005B7F79" w:rsidRPr="005B7F79" w:rsidRDefault="005B7F79" w:rsidP="005B7F79">
      <w:pPr>
        <w:pStyle w:val="NIEARTTEKSTtekstnieartykuowanynppodstprawnarozplubpreambua"/>
      </w:pPr>
      <w:r w:rsidRPr="005B7F79">
        <w:t>Proponuje się, aby projektowane rozporządzenie weszło w życie w terminie 14 dni od dnia ogłoszenia.</w:t>
      </w:r>
    </w:p>
    <w:p w14:paraId="5DE9F3AF" w14:textId="3A784B52" w:rsidR="005B7F79" w:rsidRPr="005B7F79" w:rsidRDefault="005B7F79" w:rsidP="005B7F79">
      <w:pPr>
        <w:pStyle w:val="NIEARTTEKSTtekstnieartykuowanynppodstprawnarozplubpreambua"/>
      </w:pPr>
      <w:r w:rsidRPr="005B7F79">
        <w:t xml:space="preserve">Projektowane rozporządzenie </w:t>
      </w:r>
      <w:r w:rsidR="00555C10">
        <w:t xml:space="preserve">nie </w:t>
      </w:r>
      <w:r w:rsidRPr="005B7F79">
        <w:t>będzie miało wypływ</w:t>
      </w:r>
      <w:r w:rsidR="00555C10">
        <w:t>u na mikroprzedsiębiorców. W stosunku do</w:t>
      </w:r>
      <w:r w:rsidRPr="005B7F79">
        <w:t xml:space="preserve"> małych, średnich i</w:t>
      </w:r>
      <w:r w:rsidR="00921874">
        <w:t> </w:t>
      </w:r>
      <w:r w:rsidRPr="005B7F79">
        <w:t>dużych przedsiębiorstw</w:t>
      </w:r>
      <w:r w:rsidR="00555C10">
        <w:t xml:space="preserve"> projektowane rozporządzenie będzie miało wpływ tylko na</w:t>
      </w:r>
      <w:r w:rsidRPr="005B7F79">
        <w:t xml:space="preserve"> ośrodk</w:t>
      </w:r>
      <w:r w:rsidR="00555C10">
        <w:t xml:space="preserve">i </w:t>
      </w:r>
      <w:r w:rsidRPr="005B7F79">
        <w:t>wykonując</w:t>
      </w:r>
      <w:r w:rsidR="00555C10">
        <w:t>e</w:t>
      </w:r>
      <w:r w:rsidRPr="005B7F79">
        <w:t xml:space="preserve"> przezcewnikowe leczenie zastawek serca, </w:t>
      </w:r>
      <w:r w:rsidR="00555C10">
        <w:t xml:space="preserve">które </w:t>
      </w:r>
      <w:r w:rsidRPr="005B7F79">
        <w:t>będą zobowiązane do przekazywania danych o wykonanych zabiegach.</w:t>
      </w:r>
    </w:p>
    <w:p w14:paraId="0717C79B" w14:textId="77777777" w:rsidR="005B7F79" w:rsidRPr="005B7F79" w:rsidRDefault="005B7F79" w:rsidP="005B7F79">
      <w:pPr>
        <w:pStyle w:val="NIEARTTEKSTtekstnieartykuowanynppodstprawnarozplubpreambua"/>
      </w:pPr>
      <w:r w:rsidRPr="005B7F79">
        <w:t xml:space="preserve">Projekt rozporządzenia nie podlega procedurze notyfikacji w rozumieniu przepisów rozporządzenia Rady Ministrów z dnia 23 grudnia 2002 r. w sprawie sposobu funkcjonowania krajowego systemu notyfikacji norm i aktów prawnych (Dz. U. poz. 2039 oraz z 2004 r. poz. 597). </w:t>
      </w:r>
    </w:p>
    <w:p w14:paraId="36513F61" w14:textId="77777777" w:rsidR="005B7F79" w:rsidRPr="005B7F79" w:rsidRDefault="005B7F79" w:rsidP="005B7F79">
      <w:pPr>
        <w:pStyle w:val="NIEARTTEKSTtekstnieartykuowanynppodstprawnarozplubpreambua"/>
      </w:pPr>
      <w:r w:rsidRPr="005B7F79">
        <w:t>Projekt rozporządzenia nie wymaga przedstawienia organom i instytucjom Unii Europejskiej, w tym Europejskiemu Bankowi Centralnemu, w celu uzyskania opinii, dokonania powiadomienia, konsultacji albo uzgodnienia.</w:t>
      </w:r>
    </w:p>
    <w:p w14:paraId="65F93D4F" w14:textId="144E8F17" w:rsidR="005B7F79" w:rsidRPr="005B7F79" w:rsidRDefault="00B43209" w:rsidP="005B7F79">
      <w:pPr>
        <w:pStyle w:val="NIEARTTEKSTtekstnieartykuowanynppodstprawnarozplubpreambua"/>
      </w:pPr>
      <w:r w:rsidRPr="00B43209">
        <w:t>Projekt rozporządzenia nie jest sprzeczny z prawem Unii Europejskiej</w:t>
      </w:r>
      <w:r w:rsidR="005B7F79" w:rsidRPr="005B7F79">
        <w:t>.</w:t>
      </w:r>
    </w:p>
    <w:p w14:paraId="25B1EE12" w14:textId="1036578D" w:rsidR="005B7F79" w:rsidRPr="005B7F79" w:rsidRDefault="005B7F79" w:rsidP="005B7F79">
      <w:pPr>
        <w:pStyle w:val="NIEARTTEKSTtekstnieartykuowanynppodstprawnarozplubpreambua"/>
      </w:pPr>
      <w:r w:rsidRPr="005B7F79">
        <w:t>Nie ma możliwości podjęcia alternatywnych w stosunku do projektowanego rozporządzenia środków umożliwiających osiągnięcie zamierzonego celu.</w:t>
      </w:r>
      <w:bookmarkStart w:id="15" w:name="ezdPracownikAtrybut4"/>
      <w:bookmarkEnd w:id="15"/>
      <w:r w:rsidR="00D23F9F">
        <w:t xml:space="preserve"> </w:t>
      </w:r>
    </w:p>
    <w:p w14:paraId="3606F15F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14800" w14:textId="77777777" w:rsidR="009036B8" w:rsidRDefault="009036B8">
      <w:r>
        <w:separator/>
      </w:r>
    </w:p>
  </w:endnote>
  <w:endnote w:type="continuationSeparator" w:id="0">
    <w:p w14:paraId="57637331" w14:textId="77777777" w:rsidR="009036B8" w:rsidRDefault="0090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0A6B1" w14:textId="77777777" w:rsidR="009036B8" w:rsidRDefault="009036B8">
      <w:r>
        <w:separator/>
      </w:r>
    </w:p>
  </w:footnote>
  <w:footnote w:type="continuationSeparator" w:id="0">
    <w:p w14:paraId="55B3FEE9" w14:textId="77777777" w:rsidR="009036B8" w:rsidRDefault="009036B8">
      <w:r>
        <w:continuationSeparator/>
      </w:r>
    </w:p>
  </w:footnote>
  <w:footnote w:id="1">
    <w:p w14:paraId="2C791106" w14:textId="0F88CF35" w:rsidR="005B7F79" w:rsidRDefault="005B7F79" w:rsidP="005B7F7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="00125426">
        <w:rPr>
          <w:rStyle w:val="IGindeksgrny"/>
        </w:rPr>
        <w:tab/>
      </w:r>
      <w:r w:rsidRPr="00854FF0">
        <w:t xml:space="preserve">Minister Zdrowia kieruje działem administracji rządowej – zdrowie, na podstawie § 1 ust. 2 rozporządzenia Prezesa Rady Ministrów z dnia </w:t>
      </w:r>
      <w:r w:rsidR="00F57BDE">
        <w:t>27 sierpnia</w:t>
      </w:r>
      <w:r w:rsidRPr="00854FF0">
        <w:t xml:space="preserve"> 20</w:t>
      </w:r>
      <w:r w:rsidR="00F57BDE">
        <w:t>20</w:t>
      </w:r>
      <w:r w:rsidRPr="00854FF0">
        <w:t xml:space="preserve"> r. w sprawie szczegółowego zakresu działania Ministra Zdrowia (Dz. U. poz.</w:t>
      </w:r>
      <w:r w:rsidR="00F57BDE">
        <w:t xml:space="preserve"> 1470</w:t>
      </w:r>
      <w:r w:rsidR="00F70CE0">
        <w:t xml:space="preserve"> i</w:t>
      </w:r>
      <w:r w:rsidR="00767DE8">
        <w:t xml:space="preserve"> </w:t>
      </w:r>
      <w:r w:rsidR="00A544A1">
        <w:t>1541</w:t>
      </w:r>
      <w:r w:rsidRPr="00854FF0">
        <w:t>).</w:t>
      </w:r>
    </w:p>
  </w:footnote>
  <w:footnote w:id="2">
    <w:p w14:paraId="53358A1F" w14:textId="43C02A5F" w:rsidR="00BC2C63" w:rsidRDefault="00BC2C63" w:rsidP="00BC2C63">
      <w:pPr>
        <w:pStyle w:val="ODNONIKtreodnonika"/>
      </w:pPr>
      <w:r>
        <w:rPr>
          <w:rStyle w:val="Odwoanieprzypisudolnego"/>
        </w:rPr>
        <w:footnoteRef/>
      </w:r>
      <w:r w:rsidRPr="002B604C">
        <w:rPr>
          <w:rStyle w:val="IGindeksgrny"/>
        </w:rPr>
        <w:t>)</w:t>
      </w:r>
      <w:r>
        <w:t xml:space="preserve"> </w:t>
      </w:r>
      <w:r w:rsidRPr="0098325C">
        <w:t xml:space="preserve">Zmiana wymienionego rozporządzenia została </w:t>
      </w:r>
      <w:r>
        <w:t>ogłoszona w Dz. Urz. UE L 28 z 04.02.2016</w:t>
      </w:r>
      <w:r w:rsidRPr="0098325C">
        <w:t xml:space="preserve">, str. </w:t>
      </w:r>
      <w:r>
        <w:t>18</w:t>
      </w:r>
      <w:r w:rsidRPr="0098325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8C61E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DD24819"/>
    <w:multiLevelType w:val="hybridMultilevel"/>
    <w:tmpl w:val="CCA21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6"/>
  </w:num>
  <w:num w:numId="14">
    <w:abstractNumId w:val="27"/>
  </w:num>
  <w:num w:numId="15">
    <w:abstractNumId w:val="14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20"/>
  </w:num>
  <w:num w:numId="32">
    <w:abstractNumId w:val="11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2"/>
  </w:num>
  <w:num w:numId="43">
    <w:abstractNumId w:val="35"/>
  </w:num>
  <w:num w:numId="44">
    <w:abstractNumId w:val="12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79"/>
    <w:rsid w:val="000012DA"/>
    <w:rsid w:val="0000246E"/>
    <w:rsid w:val="00003862"/>
    <w:rsid w:val="00007321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583D"/>
    <w:rsid w:val="00036B63"/>
    <w:rsid w:val="00037E1A"/>
    <w:rsid w:val="00043495"/>
    <w:rsid w:val="00046461"/>
    <w:rsid w:val="00046A75"/>
    <w:rsid w:val="00047312"/>
    <w:rsid w:val="000508BD"/>
    <w:rsid w:val="000508D0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B614A"/>
    <w:rsid w:val="000C05BA"/>
    <w:rsid w:val="000C0E8F"/>
    <w:rsid w:val="000C2C8B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F9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426"/>
    <w:rsid w:val="00125A9C"/>
    <w:rsid w:val="001270A2"/>
    <w:rsid w:val="00131237"/>
    <w:rsid w:val="001329AC"/>
    <w:rsid w:val="00134CA0"/>
    <w:rsid w:val="00137806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1DAF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206"/>
    <w:rsid w:val="001B342E"/>
    <w:rsid w:val="001C1832"/>
    <w:rsid w:val="001C188C"/>
    <w:rsid w:val="001D1783"/>
    <w:rsid w:val="001D2F9C"/>
    <w:rsid w:val="001D53CD"/>
    <w:rsid w:val="001D55A3"/>
    <w:rsid w:val="001D5AF5"/>
    <w:rsid w:val="001E1E73"/>
    <w:rsid w:val="001E2546"/>
    <w:rsid w:val="001E4E0C"/>
    <w:rsid w:val="001E526D"/>
    <w:rsid w:val="001E5655"/>
    <w:rsid w:val="001F1832"/>
    <w:rsid w:val="001F220F"/>
    <w:rsid w:val="001F25B3"/>
    <w:rsid w:val="001F6616"/>
    <w:rsid w:val="001F71C8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086E"/>
    <w:rsid w:val="00236474"/>
    <w:rsid w:val="0023727E"/>
    <w:rsid w:val="00242081"/>
    <w:rsid w:val="00243777"/>
    <w:rsid w:val="00243B61"/>
    <w:rsid w:val="002441CD"/>
    <w:rsid w:val="002501A3"/>
    <w:rsid w:val="0025166C"/>
    <w:rsid w:val="0025200A"/>
    <w:rsid w:val="002553DE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2191"/>
    <w:rsid w:val="002A570F"/>
    <w:rsid w:val="002A7292"/>
    <w:rsid w:val="002A7358"/>
    <w:rsid w:val="002A7902"/>
    <w:rsid w:val="002B0F6B"/>
    <w:rsid w:val="002B1069"/>
    <w:rsid w:val="002B23B8"/>
    <w:rsid w:val="002B4429"/>
    <w:rsid w:val="002B68A6"/>
    <w:rsid w:val="002B7FAF"/>
    <w:rsid w:val="002C1012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3190"/>
    <w:rsid w:val="003148FD"/>
    <w:rsid w:val="00321080"/>
    <w:rsid w:val="00322D45"/>
    <w:rsid w:val="00324681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B5B"/>
    <w:rsid w:val="00354EB9"/>
    <w:rsid w:val="003576A8"/>
    <w:rsid w:val="003602AE"/>
    <w:rsid w:val="003602D0"/>
    <w:rsid w:val="00360929"/>
    <w:rsid w:val="003647D5"/>
    <w:rsid w:val="003674B0"/>
    <w:rsid w:val="0037727C"/>
    <w:rsid w:val="00377E70"/>
    <w:rsid w:val="00380904"/>
    <w:rsid w:val="003823EE"/>
    <w:rsid w:val="00382960"/>
    <w:rsid w:val="0038408C"/>
    <w:rsid w:val="003846F7"/>
    <w:rsid w:val="003851ED"/>
    <w:rsid w:val="00385B39"/>
    <w:rsid w:val="00386785"/>
    <w:rsid w:val="00387E81"/>
    <w:rsid w:val="00390E89"/>
    <w:rsid w:val="0039141B"/>
    <w:rsid w:val="00391B1A"/>
    <w:rsid w:val="00394423"/>
    <w:rsid w:val="00396942"/>
    <w:rsid w:val="00396B49"/>
    <w:rsid w:val="00396E3E"/>
    <w:rsid w:val="003A306E"/>
    <w:rsid w:val="003A3D52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572C"/>
    <w:rsid w:val="003E0D1A"/>
    <w:rsid w:val="003E2DA3"/>
    <w:rsid w:val="003F020D"/>
    <w:rsid w:val="003F03D9"/>
    <w:rsid w:val="003F2FBE"/>
    <w:rsid w:val="003F318D"/>
    <w:rsid w:val="003F5412"/>
    <w:rsid w:val="003F5BAE"/>
    <w:rsid w:val="003F6ED7"/>
    <w:rsid w:val="00401C84"/>
    <w:rsid w:val="00403210"/>
    <w:rsid w:val="004035BB"/>
    <w:rsid w:val="004035EB"/>
    <w:rsid w:val="00405D7C"/>
    <w:rsid w:val="00407332"/>
    <w:rsid w:val="00407828"/>
    <w:rsid w:val="00413D8E"/>
    <w:rsid w:val="004140F2"/>
    <w:rsid w:val="004168B9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96"/>
    <w:rsid w:val="004653A8"/>
    <w:rsid w:val="00465A0B"/>
    <w:rsid w:val="004675A7"/>
    <w:rsid w:val="0047077C"/>
    <w:rsid w:val="00470B05"/>
    <w:rsid w:val="0047207C"/>
    <w:rsid w:val="00472CD6"/>
    <w:rsid w:val="00474B4E"/>
    <w:rsid w:val="00474E3C"/>
    <w:rsid w:val="00480A58"/>
    <w:rsid w:val="00482151"/>
    <w:rsid w:val="00485FAD"/>
    <w:rsid w:val="00487AED"/>
    <w:rsid w:val="00491EDF"/>
    <w:rsid w:val="00492A3F"/>
    <w:rsid w:val="00493450"/>
    <w:rsid w:val="00494F62"/>
    <w:rsid w:val="00496E57"/>
    <w:rsid w:val="004A2001"/>
    <w:rsid w:val="004A3590"/>
    <w:rsid w:val="004A5D58"/>
    <w:rsid w:val="004B00A7"/>
    <w:rsid w:val="004B25E2"/>
    <w:rsid w:val="004B34D7"/>
    <w:rsid w:val="004B4EFD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4025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3958"/>
    <w:rsid w:val="00526DFC"/>
    <w:rsid w:val="00526F43"/>
    <w:rsid w:val="00527651"/>
    <w:rsid w:val="005343C3"/>
    <w:rsid w:val="005363AB"/>
    <w:rsid w:val="005370FF"/>
    <w:rsid w:val="00542EC1"/>
    <w:rsid w:val="00544EF4"/>
    <w:rsid w:val="00545909"/>
    <w:rsid w:val="00545E53"/>
    <w:rsid w:val="005479D9"/>
    <w:rsid w:val="00555C10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119"/>
    <w:rsid w:val="005A0274"/>
    <w:rsid w:val="005A095C"/>
    <w:rsid w:val="005A669D"/>
    <w:rsid w:val="005A75D8"/>
    <w:rsid w:val="005B13C9"/>
    <w:rsid w:val="005B713E"/>
    <w:rsid w:val="005B7F79"/>
    <w:rsid w:val="005C03B6"/>
    <w:rsid w:val="005C0937"/>
    <w:rsid w:val="005C348E"/>
    <w:rsid w:val="005C4003"/>
    <w:rsid w:val="005C68E1"/>
    <w:rsid w:val="005D3763"/>
    <w:rsid w:val="005D55E1"/>
    <w:rsid w:val="005D7228"/>
    <w:rsid w:val="005E19F7"/>
    <w:rsid w:val="005E267C"/>
    <w:rsid w:val="005E4F04"/>
    <w:rsid w:val="005E62C2"/>
    <w:rsid w:val="005E6C71"/>
    <w:rsid w:val="005F0963"/>
    <w:rsid w:val="005F2824"/>
    <w:rsid w:val="005F2EBA"/>
    <w:rsid w:val="005F35ED"/>
    <w:rsid w:val="005F7057"/>
    <w:rsid w:val="005F7812"/>
    <w:rsid w:val="005F7A88"/>
    <w:rsid w:val="00603A1A"/>
    <w:rsid w:val="006046D5"/>
    <w:rsid w:val="006075C6"/>
    <w:rsid w:val="00607A93"/>
    <w:rsid w:val="00610C08"/>
    <w:rsid w:val="00611F74"/>
    <w:rsid w:val="00613A79"/>
    <w:rsid w:val="00615772"/>
    <w:rsid w:val="006206F0"/>
    <w:rsid w:val="00620A3C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09A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310E"/>
    <w:rsid w:val="006840EA"/>
    <w:rsid w:val="006844E2"/>
    <w:rsid w:val="00685267"/>
    <w:rsid w:val="006872AE"/>
    <w:rsid w:val="00690082"/>
    <w:rsid w:val="00690252"/>
    <w:rsid w:val="00690C51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03F0"/>
    <w:rsid w:val="007410B6"/>
    <w:rsid w:val="0074148F"/>
    <w:rsid w:val="00744C6F"/>
    <w:rsid w:val="007457F6"/>
    <w:rsid w:val="00745ABB"/>
    <w:rsid w:val="00746E38"/>
    <w:rsid w:val="00747CD5"/>
    <w:rsid w:val="00753B51"/>
    <w:rsid w:val="00756624"/>
    <w:rsid w:val="00756629"/>
    <w:rsid w:val="007575D2"/>
    <w:rsid w:val="00757B4F"/>
    <w:rsid w:val="00757B6A"/>
    <w:rsid w:val="007610E0"/>
    <w:rsid w:val="007621AA"/>
    <w:rsid w:val="0076260A"/>
    <w:rsid w:val="00764A67"/>
    <w:rsid w:val="00767DE8"/>
    <w:rsid w:val="00770F6B"/>
    <w:rsid w:val="00771883"/>
    <w:rsid w:val="00774B6E"/>
    <w:rsid w:val="00776DC2"/>
    <w:rsid w:val="00780122"/>
    <w:rsid w:val="0078214B"/>
    <w:rsid w:val="00782272"/>
    <w:rsid w:val="0078379F"/>
    <w:rsid w:val="0078498A"/>
    <w:rsid w:val="00786E3E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74B"/>
    <w:rsid w:val="007E2CFE"/>
    <w:rsid w:val="007E59C9"/>
    <w:rsid w:val="007E6596"/>
    <w:rsid w:val="007F0072"/>
    <w:rsid w:val="007F2EB6"/>
    <w:rsid w:val="007F54C3"/>
    <w:rsid w:val="00802949"/>
    <w:rsid w:val="0080301E"/>
    <w:rsid w:val="0080365F"/>
    <w:rsid w:val="00811E86"/>
    <w:rsid w:val="00812A69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2E14"/>
    <w:rsid w:val="008436B8"/>
    <w:rsid w:val="008460B6"/>
    <w:rsid w:val="00847DCB"/>
    <w:rsid w:val="00850C9D"/>
    <w:rsid w:val="00852B59"/>
    <w:rsid w:val="00856272"/>
    <w:rsid w:val="008563FF"/>
    <w:rsid w:val="0086018B"/>
    <w:rsid w:val="008611DD"/>
    <w:rsid w:val="008620DE"/>
    <w:rsid w:val="00865BD1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839"/>
    <w:rsid w:val="00886B60"/>
    <w:rsid w:val="00887889"/>
    <w:rsid w:val="008920FF"/>
    <w:rsid w:val="008926E8"/>
    <w:rsid w:val="00894F19"/>
    <w:rsid w:val="00896A10"/>
    <w:rsid w:val="00896DB3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58D8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42D8"/>
    <w:rsid w:val="008E78A3"/>
    <w:rsid w:val="008F0654"/>
    <w:rsid w:val="008F06CB"/>
    <w:rsid w:val="008F2E83"/>
    <w:rsid w:val="008F612A"/>
    <w:rsid w:val="008F74A4"/>
    <w:rsid w:val="0090293D"/>
    <w:rsid w:val="009034DE"/>
    <w:rsid w:val="009036B8"/>
    <w:rsid w:val="00904086"/>
    <w:rsid w:val="00905396"/>
    <w:rsid w:val="0090605D"/>
    <w:rsid w:val="00906419"/>
    <w:rsid w:val="009108FC"/>
    <w:rsid w:val="00912889"/>
    <w:rsid w:val="009135E5"/>
    <w:rsid w:val="00913A42"/>
    <w:rsid w:val="00914167"/>
    <w:rsid w:val="009143DB"/>
    <w:rsid w:val="00915065"/>
    <w:rsid w:val="00917CE5"/>
    <w:rsid w:val="009217C0"/>
    <w:rsid w:val="00921874"/>
    <w:rsid w:val="00925241"/>
    <w:rsid w:val="00925CEC"/>
    <w:rsid w:val="00926A3F"/>
    <w:rsid w:val="0092794E"/>
    <w:rsid w:val="00930D30"/>
    <w:rsid w:val="009332A2"/>
    <w:rsid w:val="00937598"/>
    <w:rsid w:val="0093790B"/>
    <w:rsid w:val="00941284"/>
    <w:rsid w:val="00943751"/>
    <w:rsid w:val="00946DD0"/>
    <w:rsid w:val="009509E6"/>
    <w:rsid w:val="00952018"/>
    <w:rsid w:val="00952800"/>
    <w:rsid w:val="0095300D"/>
    <w:rsid w:val="00956812"/>
    <w:rsid w:val="0095719A"/>
    <w:rsid w:val="009613A5"/>
    <w:rsid w:val="009623E9"/>
    <w:rsid w:val="00963EEB"/>
    <w:rsid w:val="009648BC"/>
    <w:rsid w:val="00964C2F"/>
    <w:rsid w:val="00965F88"/>
    <w:rsid w:val="00984E03"/>
    <w:rsid w:val="00987E85"/>
    <w:rsid w:val="0099183C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A26"/>
    <w:rsid w:val="009D3316"/>
    <w:rsid w:val="009D55AA"/>
    <w:rsid w:val="009D708B"/>
    <w:rsid w:val="009D7C45"/>
    <w:rsid w:val="009E1595"/>
    <w:rsid w:val="009E22E5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5ED4"/>
    <w:rsid w:val="00A4685E"/>
    <w:rsid w:val="00A50CD4"/>
    <w:rsid w:val="00A51191"/>
    <w:rsid w:val="00A52E41"/>
    <w:rsid w:val="00A544A1"/>
    <w:rsid w:val="00A56D62"/>
    <w:rsid w:val="00A56F07"/>
    <w:rsid w:val="00A5762C"/>
    <w:rsid w:val="00A600FC"/>
    <w:rsid w:val="00A60BCA"/>
    <w:rsid w:val="00A638DA"/>
    <w:rsid w:val="00A65B41"/>
    <w:rsid w:val="00A65E00"/>
    <w:rsid w:val="00A65EF1"/>
    <w:rsid w:val="00A66A78"/>
    <w:rsid w:val="00A7436E"/>
    <w:rsid w:val="00A74E96"/>
    <w:rsid w:val="00A75A8E"/>
    <w:rsid w:val="00A76A0C"/>
    <w:rsid w:val="00A77697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5FC3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579B"/>
    <w:rsid w:val="00B371CC"/>
    <w:rsid w:val="00B41CD9"/>
    <w:rsid w:val="00B427E6"/>
    <w:rsid w:val="00B428A6"/>
    <w:rsid w:val="00B43209"/>
    <w:rsid w:val="00B43E1F"/>
    <w:rsid w:val="00B45FBC"/>
    <w:rsid w:val="00B50430"/>
    <w:rsid w:val="00B51A7D"/>
    <w:rsid w:val="00B52A20"/>
    <w:rsid w:val="00B535C2"/>
    <w:rsid w:val="00B54E8E"/>
    <w:rsid w:val="00B55544"/>
    <w:rsid w:val="00B642FC"/>
    <w:rsid w:val="00B64D26"/>
    <w:rsid w:val="00B64FBB"/>
    <w:rsid w:val="00B70E22"/>
    <w:rsid w:val="00B731D7"/>
    <w:rsid w:val="00B7585F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0989"/>
    <w:rsid w:val="00BC11E5"/>
    <w:rsid w:val="00BC1DB6"/>
    <w:rsid w:val="00BC2C63"/>
    <w:rsid w:val="00BC4BC6"/>
    <w:rsid w:val="00BC52FD"/>
    <w:rsid w:val="00BC6E62"/>
    <w:rsid w:val="00BC7443"/>
    <w:rsid w:val="00BD0648"/>
    <w:rsid w:val="00BD1040"/>
    <w:rsid w:val="00BD34AA"/>
    <w:rsid w:val="00BD5BCA"/>
    <w:rsid w:val="00BE0C44"/>
    <w:rsid w:val="00BE1B8B"/>
    <w:rsid w:val="00BE2A18"/>
    <w:rsid w:val="00BE2C01"/>
    <w:rsid w:val="00BE41EC"/>
    <w:rsid w:val="00BE56FB"/>
    <w:rsid w:val="00BF11E1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37F41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0254"/>
    <w:rsid w:val="00C667BE"/>
    <w:rsid w:val="00C6766B"/>
    <w:rsid w:val="00C72223"/>
    <w:rsid w:val="00C74B1B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0A4"/>
    <w:rsid w:val="00CA346A"/>
    <w:rsid w:val="00CA5A91"/>
    <w:rsid w:val="00CB0E3D"/>
    <w:rsid w:val="00CB18D0"/>
    <w:rsid w:val="00CB1C8A"/>
    <w:rsid w:val="00CB24F5"/>
    <w:rsid w:val="00CB2663"/>
    <w:rsid w:val="00CB3BBE"/>
    <w:rsid w:val="00CB59E9"/>
    <w:rsid w:val="00CC0B97"/>
    <w:rsid w:val="00CC0D6A"/>
    <w:rsid w:val="00CC3831"/>
    <w:rsid w:val="00CC3E3D"/>
    <w:rsid w:val="00CC519B"/>
    <w:rsid w:val="00CD12C1"/>
    <w:rsid w:val="00CD214E"/>
    <w:rsid w:val="00CD40C3"/>
    <w:rsid w:val="00CD46FA"/>
    <w:rsid w:val="00CD5973"/>
    <w:rsid w:val="00CD5E2D"/>
    <w:rsid w:val="00CE0703"/>
    <w:rsid w:val="00CE31A6"/>
    <w:rsid w:val="00CF09AA"/>
    <w:rsid w:val="00CF4813"/>
    <w:rsid w:val="00CF5233"/>
    <w:rsid w:val="00D029B8"/>
    <w:rsid w:val="00D02F60"/>
    <w:rsid w:val="00D0464E"/>
    <w:rsid w:val="00D0482C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3F9F"/>
    <w:rsid w:val="00D247A9"/>
    <w:rsid w:val="00D32721"/>
    <w:rsid w:val="00D328DC"/>
    <w:rsid w:val="00D33387"/>
    <w:rsid w:val="00D3625E"/>
    <w:rsid w:val="00D402FB"/>
    <w:rsid w:val="00D47D7A"/>
    <w:rsid w:val="00D50ABD"/>
    <w:rsid w:val="00D534B4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393B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440"/>
    <w:rsid w:val="00DE7DC1"/>
    <w:rsid w:val="00DF3F7E"/>
    <w:rsid w:val="00DF7648"/>
    <w:rsid w:val="00E00E29"/>
    <w:rsid w:val="00E02BAB"/>
    <w:rsid w:val="00E04468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030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1FC6"/>
    <w:rsid w:val="00E96E3F"/>
    <w:rsid w:val="00EA270C"/>
    <w:rsid w:val="00EA4974"/>
    <w:rsid w:val="00EA532E"/>
    <w:rsid w:val="00EB06D9"/>
    <w:rsid w:val="00EB192B"/>
    <w:rsid w:val="00EB19ED"/>
    <w:rsid w:val="00EB1CAB"/>
    <w:rsid w:val="00EB4E00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841"/>
    <w:rsid w:val="00EF067B"/>
    <w:rsid w:val="00EF0B96"/>
    <w:rsid w:val="00EF3486"/>
    <w:rsid w:val="00EF47AF"/>
    <w:rsid w:val="00EF53B6"/>
    <w:rsid w:val="00F00B73"/>
    <w:rsid w:val="00F032A1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572A"/>
    <w:rsid w:val="00F43390"/>
    <w:rsid w:val="00F443B2"/>
    <w:rsid w:val="00F4585A"/>
    <w:rsid w:val="00F458D8"/>
    <w:rsid w:val="00F46411"/>
    <w:rsid w:val="00F50237"/>
    <w:rsid w:val="00F53596"/>
    <w:rsid w:val="00F55BA8"/>
    <w:rsid w:val="00F55DB1"/>
    <w:rsid w:val="00F56ACA"/>
    <w:rsid w:val="00F57BDE"/>
    <w:rsid w:val="00F600FE"/>
    <w:rsid w:val="00F62E4D"/>
    <w:rsid w:val="00F66B34"/>
    <w:rsid w:val="00F675B9"/>
    <w:rsid w:val="00F70CE0"/>
    <w:rsid w:val="00F711C9"/>
    <w:rsid w:val="00F72615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2EB"/>
    <w:rsid w:val="00FC3BDE"/>
    <w:rsid w:val="00FD1DBE"/>
    <w:rsid w:val="00FD25A7"/>
    <w:rsid w:val="00FD27B6"/>
    <w:rsid w:val="00FD3689"/>
    <w:rsid w:val="00FD3769"/>
    <w:rsid w:val="00FD42A3"/>
    <w:rsid w:val="00FD7468"/>
    <w:rsid w:val="00FD7CE0"/>
    <w:rsid w:val="00FE0B3B"/>
    <w:rsid w:val="00FE1BE2"/>
    <w:rsid w:val="00FE730A"/>
    <w:rsid w:val="00FF1DD7"/>
    <w:rsid w:val="00FF2C7F"/>
    <w:rsid w:val="00FF4453"/>
    <w:rsid w:val="00FF4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B0C00"/>
  <w15:docId w15:val="{07E0607C-04EF-48A0-9026-D5F87104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F79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B52A20"/>
    <w:pPr>
      <w:spacing w:line="240" w:lineRule="auto"/>
    </w:pPr>
    <w:rPr>
      <w:rFonts w:ascii="Times New Roman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rakowski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AAD73A-2630-4FC0-A675-5E199BDE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8</Pages>
  <Words>2131</Words>
  <Characters>12792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Rakowski Paweł</dc:creator>
  <cp:lastModifiedBy>Rakowski Paweł</cp:lastModifiedBy>
  <cp:revision>2</cp:revision>
  <cp:lastPrinted>2012-04-23T06:39:00Z</cp:lastPrinted>
  <dcterms:created xsi:type="dcterms:W3CDTF">2021-01-07T07:21:00Z</dcterms:created>
  <dcterms:modified xsi:type="dcterms:W3CDTF">2021-01-07T07:21:00Z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